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901E" w14:textId="77777777" w:rsidR="005D6846" w:rsidRPr="00DE7C9B" w:rsidRDefault="005D6846" w:rsidP="005D6846">
      <w:r w:rsidRPr="00DE7C9B">
        <w:t>Headline: $44.1T Opportunity!</w:t>
      </w:r>
    </w:p>
    <w:p w14:paraId="6483A3F1" w14:textId="77777777" w:rsidR="005D6846" w:rsidRDefault="005D6846" w:rsidP="005D6846">
      <w:r>
        <w:t>NLG Partner,</w:t>
      </w:r>
    </w:p>
    <w:p w14:paraId="2935349C" w14:textId="77777777" w:rsidR="005D6846" w:rsidRPr="00E642CD" w:rsidRDefault="005D6846" w:rsidP="005D6846">
      <w:pPr>
        <w:rPr>
          <w:i/>
          <w:iCs/>
          <w:u w:val="single"/>
        </w:rPr>
      </w:pPr>
      <w:r w:rsidRPr="00E642CD">
        <w:rPr>
          <w:i/>
          <w:iCs/>
          <w:u w:val="single"/>
        </w:rPr>
        <w:t>Did you know last year US Households held a total of $44.1T in Retirement Assets!</w:t>
      </w:r>
    </w:p>
    <w:p w14:paraId="79301943" w14:textId="77777777" w:rsidR="005D6846" w:rsidRPr="00E642CD" w:rsidRDefault="005D6846" w:rsidP="005D6846">
      <w:pPr>
        <w:pStyle w:val="ListParagraph"/>
        <w:numPr>
          <w:ilvl w:val="0"/>
          <w:numId w:val="1"/>
        </w:numPr>
      </w:pPr>
      <w:r w:rsidRPr="00E642CD">
        <w:t>The average 401</w:t>
      </w:r>
      <w:r>
        <w:t>(</w:t>
      </w:r>
      <w:r w:rsidRPr="00E642CD">
        <w:t>k</w:t>
      </w:r>
      <w:r>
        <w:t>)</w:t>
      </w:r>
      <w:r w:rsidRPr="00E642CD">
        <w:t xml:space="preserve"> balance was $132,300</w:t>
      </w:r>
    </w:p>
    <w:p w14:paraId="45462251" w14:textId="77777777" w:rsidR="005D6846" w:rsidRPr="00E642CD" w:rsidRDefault="005D6846" w:rsidP="005D6846">
      <w:pPr>
        <w:pStyle w:val="ListParagraph"/>
        <w:numPr>
          <w:ilvl w:val="0"/>
          <w:numId w:val="1"/>
        </w:numPr>
      </w:pPr>
      <w:r w:rsidRPr="00E642CD">
        <w:t>The average IRA balance was $129,200</w:t>
      </w:r>
    </w:p>
    <w:p w14:paraId="2E9F4462" w14:textId="77777777" w:rsidR="005D6846" w:rsidRDefault="005D6846" w:rsidP="005D6846">
      <w:r>
        <w:t>While the average Social Security benefit was $1,975 per month, many retirees don’t feel prepared for retirement.</w:t>
      </w:r>
    </w:p>
    <w:p w14:paraId="2F0F3DF7" w14:textId="77777777" w:rsidR="005D6846" w:rsidRDefault="005D6846" w:rsidP="005D6846">
      <w:pPr>
        <w:pStyle w:val="NormalWeb"/>
        <w:rPr>
          <w:b/>
          <w:bCs/>
          <w:color w:val="000000"/>
          <w:sz w:val="27"/>
          <w:szCs w:val="27"/>
          <w:u w:val="single"/>
        </w:rPr>
      </w:pPr>
      <w:r>
        <w:rPr>
          <w:b/>
          <w:bCs/>
          <w:color w:val="000000"/>
          <w:sz w:val="27"/>
          <w:szCs w:val="27"/>
          <w:u w:val="single"/>
        </w:rPr>
        <w:t>Fill the income gap with Life Insurance Company of the Southwest’s Income Driver 10 Fixed Indexed Annuity (FIA) with Standard Guaranteed Lifetime Income Rider (GLIR) which can deliver:</w:t>
      </w:r>
      <w:r>
        <w:rPr>
          <w:b/>
          <w:bCs/>
          <w:color w:val="000000"/>
          <w:sz w:val="16"/>
          <w:szCs w:val="16"/>
          <w:u w:val="single"/>
        </w:rPr>
        <w:t>2</w:t>
      </w:r>
    </w:p>
    <w:p w14:paraId="76C908D0" w14:textId="77777777" w:rsidR="005D6846" w:rsidRDefault="005D6846" w:rsidP="005D6846">
      <w:pPr>
        <w:pStyle w:val="NormalWeb"/>
        <w:rPr>
          <w:b/>
          <w:bCs/>
          <w:color w:val="000000"/>
          <w:sz w:val="27"/>
          <w:szCs w:val="27"/>
          <w:highlight w:val="yellow"/>
        </w:rPr>
      </w:pPr>
      <w:r>
        <w:rPr>
          <w:b/>
          <w:bCs/>
          <w:color w:val="000000"/>
          <w:sz w:val="27"/>
          <w:szCs w:val="27"/>
          <w:highlight w:val="yellow"/>
        </w:rPr>
        <w:t>· 25% Immediate Income Bonus</w:t>
      </w:r>
      <w:r w:rsidRPr="00BD2B4D">
        <w:rPr>
          <w:b/>
          <w:bCs/>
          <w:color w:val="000000"/>
          <w:sz w:val="16"/>
          <w:szCs w:val="16"/>
          <w:highlight w:val="yellow"/>
        </w:rPr>
        <w:t>1</w:t>
      </w:r>
    </w:p>
    <w:p w14:paraId="19641CD5" w14:textId="77777777" w:rsidR="005D6846" w:rsidRDefault="005D6846" w:rsidP="005D6846">
      <w:pPr>
        <w:pStyle w:val="NormalWeb"/>
        <w:rPr>
          <w:b/>
          <w:bCs/>
          <w:color w:val="000000"/>
          <w:sz w:val="27"/>
          <w:szCs w:val="27"/>
          <w:highlight w:val="yellow"/>
        </w:rPr>
      </w:pPr>
      <w:proofErr w:type="gramStart"/>
      <w:r>
        <w:rPr>
          <w:b/>
          <w:bCs/>
          <w:color w:val="000000"/>
          <w:sz w:val="27"/>
          <w:szCs w:val="27"/>
          <w:highlight w:val="yellow"/>
        </w:rPr>
        <w:t>· 10%</w:t>
      </w:r>
      <w:proofErr w:type="gramEnd"/>
      <w:r>
        <w:rPr>
          <w:b/>
          <w:bCs/>
          <w:color w:val="000000"/>
          <w:sz w:val="27"/>
          <w:szCs w:val="27"/>
          <w:highlight w:val="yellow"/>
        </w:rPr>
        <w:t xml:space="preserve"> Simple Roll-up for 10 years</w:t>
      </w:r>
    </w:p>
    <w:p w14:paraId="30B2E83A" w14:textId="77777777" w:rsidR="005D6846" w:rsidRDefault="005D6846" w:rsidP="005D6846">
      <w:pPr>
        <w:pStyle w:val="NormalWeb"/>
        <w:rPr>
          <w:b/>
          <w:bCs/>
          <w:color w:val="000000"/>
          <w:sz w:val="27"/>
          <w:szCs w:val="27"/>
          <w:highlight w:val="yellow"/>
        </w:rPr>
      </w:pPr>
      <w:r>
        <w:rPr>
          <w:b/>
          <w:bCs/>
          <w:color w:val="000000"/>
          <w:sz w:val="27"/>
          <w:szCs w:val="27"/>
          <w:highlight w:val="yellow"/>
        </w:rPr>
        <w:t>· Level and Increasing Income options</w:t>
      </w:r>
    </w:p>
    <w:p w14:paraId="5A83D289" w14:textId="77777777" w:rsidR="005D6846" w:rsidRDefault="005D6846" w:rsidP="005D6846">
      <w:pPr>
        <w:pStyle w:val="NormalWeb"/>
        <w:rPr>
          <w:b/>
          <w:bCs/>
          <w:color w:val="000000"/>
          <w:sz w:val="27"/>
          <w:szCs w:val="27"/>
        </w:rPr>
      </w:pPr>
      <w:r>
        <w:rPr>
          <w:b/>
          <w:bCs/>
          <w:color w:val="000000"/>
          <w:sz w:val="27"/>
          <w:szCs w:val="27"/>
          <w:highlight w:val="yellow"/>
        </w:rPr>
        <w:t>· Activities of Daily Living Income Doubler available</w:t>
      </w:r>
      <w:r>
        <w:rPr>
          <w:b/>
          <w:bCs/>
          <w:color w:val="000000"/>
          <w:sz w:val="16"/>
          <w:szCs w:val="16"/>
          <w:highlight w:val="yellow"/>
        </w:rPr>
        <w:t>3</w:t>
      </w:r>
    </w:p>
    <w:p w14:paraId="0E30A6F7" w14:textId="77777777" w:rsidR="005D6846" w:rsidRDefault="005D6846" w:rsidP="005D6846">
      <w:pPr>
        <w:pStyle w:val="NormalWeb"/>
        <w:rPr>
          <w:color w:val="000000"/>
          <w:sz w:val="27"/>
          <w:szCs w:val="27"/>
        </w:rPr>
      </w:pPr>
      <w:r>
        <w:rPr>
          <w:color w:val="000000"/>
          <w:sz w:val="27"/>
          <w:szCs w:val="27"/>
        </w:rPr>
        <w:t>Interested and want to learn more, contact me!</w:t>
      </w:r>
    </w:p>
    <w:p w14:paraId="7B82195C" w14:textId="77777777" w:rsidR="005D6846" w:rsidRDefault="005D6846" w:rsidP="005D6846">
      <w:pPr>
        <w:pStyle w:val="NormalWeb"/>
        <w:rPr>
          <w:color w:val="000000"/>
          <w:sz w:val="27"/>
          <w:szCs w:val="27"/>
        </w:rPr>
      </w:pPr>
      <w:r>
        <w:rPr>
          <w:color w:val="000000"/>
          <w:sz w:val="27"/>
          <w:szCs w:val="27"/>
        </w:rP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5D6846" w14:paraId="2D57DBAD" w14:textId="77777777" w:rsidTr="001F09F8">
        <w:trPr>
          <w:trHeight w:val="2383"/>
        </w:trPr>
        <w:tc>
          <w:tcPr>
            <w:tcW w:w="12571"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5D6846" w14:paraId="4654511B" w14:textId="77777777" w:rsidTr="001F09F8">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4913D123" w14:textId="77777777" w:rsidR="005D6846" w:rsidRDefault="005D6846" w:rsidP="001F09F8">
                  <w:pPr>
                    <w:rPr>
                      <w:b/>
                      <w:bCs/>
                      <w:sz w:val="20"/>
                      <w:szCs w:val="20"/>
                      <w14:ligatures w14:val="none"/>
                    </w:rPr>
                  </w:pPr>
                  <w:r>
                    <w:rPr>
                      <w:b/>
                      <w:bCs/>
                      <w:color w:val="000000"/>
                      <w:sz w:val="20"/>
                      <w:szCs w:val="20"/>
                      <w14:ligatures w14:val="none"/>
                    </w:rPr>
                    <w:t>Craig J. Geiger</w:t>
                  </w:r>
                  <w:r>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184B0927" w14:textId="77777777" w:rsidR="005D6846" w:rsidRDefault="005D6846" w:rsidP="001F09F8">
                  <w:pPr>
                    <w:rPr>
                      <w:sz w:val="20"/>
                      <w:szCs w:val="20"/>
                      <w14:ligatures w14:val="none"/>
                    </w:rPr>
                  </w:pPr>
                  <w:r>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11AAE40E" w14:textId="77777777" w:rsidR="005D6846" w:rsidRDefault="005D6846" w:rsidP="001F09F8">
                  <w:pPr>
                    <w:rPr>
                      <w:sz w:val="20"/>
                      <w:szCs w:val="20"/>
                      <w14:ligatures w14:val="none"/>
                    </w:rPr>
                  </w:pPr>
                  <w:r>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63FB9A1E" w14:textId="77777777" w:rsidR="005D6846" w:rsidRDefault="005D6846" w:rsidP="001F09F8">
                  <w:pPr>
                    <w:rPr>
                      <w:sz w:val="20"/>
                      <w:szCs w:val="20"/>
                      <w14:ligatures w14:val="none"/>
                    </w:rPr>
                  </w:pPr>
                  <w:r>
                    <w:rPr>
                      <w:b/>
                      <w:bCs/>
                      <w:color w:val="000000"/>
                      <w:sz w:val="20"/>
                      <w:szCs w:val="20"/>
                      <w14:ligatures w14:val="none"/>
                    </w:rPr>
                    <w:t>Brittany Porter</w:t>
                  </w:r>
                </w:p>
              </w:tc>
            </w:tr>
            <w:tr w:rsidR="005D6846" w14:paraId="33B22907" w14:textId="77777777" w:rsidTr="001F09F8">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2BB85B57" w14:textId="77777777" w:rsidR="005D6846" w:rsidRDefault="005D6846" w:rsidP="001F09F8">
                  <w:pPr>
                    <w:rPr>
                      <w:sz w:val="20"/>
                      <w:szCs w:val="20"/>
                      <w14:ligatures w14:val="none"/>
                    </w:rPr>
                  </w:pPr>
                  <w:r>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5A94ECF9" w14:textId="77777777" w:rsidR="005D6846" w:rsidRDefault="005D6846" w:rsidP="001F09F8">
                  <w:pPr>
                    <w:rPr>
                      <w:sz w:val="20"/>
                      <w:szCs w:val="20"/>
                      <w14:ligatures w14:val="none"/>
                    </w:rPr>
                  </w:pPr>
                  <w:r>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1E53FA87" w14:textId="77777777" w:rsidR="005D6846" w:rsidRDefault="005D6846" w:rsidP="001F09F8">
                  <w:pPr>
                    <w:rPr>
                      <w:sz w:val="20"/>
                      <w:szCs w:val="20"/>
                      <w14:ligatures w14:val="none"/>
                    </w:rPr>
                  </w:pPr>
                  <w:r>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16BEE05E" w14:textId="77777777" w:rsidR="005D6846" w:rsidRDefault="005D6846" w:rsidP="001F09F8">
                  <w:pPr>
                    <w:rPr>
                      <w:sz w:val="20"/>
                      <w:szCs w:val="20"/>
                      <w14:ligatures w14:val="none"/>
                    </w:rPr>
                  </w:pPr>
                  <w:r>
                    <w:rPr>
                      <w:color w:val="000000"/>
                      <w:sz w:val="20"/>
                      <w:szCs w:val="20"/>
                      <w14:ligatures w14:val="none"/>
                    </w:rPr>
                    <w:t>Annuity Field Advocate</w:t>
                  </w:r>
                </w:p>
              </w:tc>
            </w:tr>
            <w:tr w:rsidR="005D6846" w14:paraId="376BE6E1" w14:textId="77777777" w:rsidTr="001F09F8">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54DCB1D5" w14:textId="77777777" w:rsidR="005D6846" w:rsidRDefault="005D6846" w:rsidP="001F09F8">
                  <w:pPr>
                    <w:rPr>
                      <w:sz w:val="20"/>
                      <w:szCs w:val="20"/>
                      <w14:ligatures w14:val="none"/>
                    </w:rPr>
                  </w:pPr>
                  <w:r>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319F0C60" w14:textId="77777777" w:rsidR="005D6846" w:rsidRDefault="005D6846" w:rsidP="001F09F8">
                  <w:pPr>
                    <w:rPr>
                      <w:sz w:val="20"/>
                      <w:szCs w:val="20"/>
                      <w14:ligatures w14:val="none"/>
                    </w:rPr>
                  </w:pPr>
                  <w:r>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3DAA8A1A" w14:textId="77777777" w:rsidR="005D6846" w:rsidRDefault="005D6846" w:rsidP="001F09F8">
                  <w:pPr>
                    <w:rPr>
                      <w:sz w:val="20"/>
                      <w:szCs w:val="20"/>
                      <w14:ligatures w14:val="none"/>
                    </w:rPr>
                  </w:pPr>
                  <w:r>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5280EF5F" w14:textId="77777777" w:rsidR="005D6846" w:rsidRDefault="005D6846" w:rsidP="001F09F8">
                  <w:pPr>
                    <w:rPr>
                      <w:sz w:val="20"/>
                      <w:szCs w:val="20"/>
                      <w14:ligatures w14:val="none"/>
                    </w:rPr>
                  </w:pPr>
                  <w:r>
                    <w:rPr>
                      <w:color w:val="000000"/>
                      <w:sz w:val="20"/>
                      <w:szCs w:val="20"/>
                      <w14:ligatures w14:val="none"/>
                    </w:rPr>
                    <w:t> </w:t>
                  </w:r>
                </w:p>
              </w:tc>
            </w:tr>
            <w:tr w:rsidR="005D6846" w14:paraId="0B9E756A" w14:textId="77777777" w:rsidTr="001F09F8">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418517A3" w14:textId="77777777" w:rsidR="005D6846" w:rsidRDefault="005D6846" w:rsidP="001F09F8">
                  <w:pPr>
                    <w:rPr>
                      <w:sz w:val="20"/>
                      <w:szCs w:val="20"/>
                      <w14:ligatures w14:val="none"/>
                    </w:rPr>
                  </w:pPr>
                  <w:r>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29E89026" w14:textId="77777777" w:rsidR="005D6846" w:rsidRDefault="005D6846" w:rsidP="001F09F8">
                  <w:pPr>
                    <w:rPr>
                      <w:sz w:val="20"/>
                      <w:szCs w:val="20"/>
                      <w14:ligatures w14:val="none"/>
                    </w:rPr>
                  </w:pPr>
                  <w:r>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59EEC3AA" w14:textId="77777777" w:rsidR="005D6846" w:rsidRDefault="005D6846" w:rsidP="001F09F8">
                  <w:pPr>
                    <w:rPr>
                      <w:sz w:val="20"/>
                      <w:szCs w:val="20"/>
                      <w14:ligatures w14:val="none"/>
                    </w:rPr>
                  </w:pPr>
                  <w:r>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37D54400" w14:textId="77777777" w:rsidR="005D6846" w:rsidRDefault="005D6846" w:rsidP="001F09F8">
                  <w:pPr>
                    <w:rPr>
                      <w:sz w:val="20"/>
                      <w:szCs w:val="20"/>
                      <w14:ligatures w14:val="none"/>
                    </w:rPr>
                  </w:pPr>
                  <w:r>
                    <w:rPr>
                      <w:color w:val="000000"/>
                      <w:sz w:val="20"/>
                      <w:szCs w:val="20"/>
                      <w14:ligatures w14:val="none"/>
                    </w:rPr>
                    <w:t>802-224-1631</w:t>
                  </w:r>
                </w:p>
              </w:tc>
            </w:tr>
            <w:tr w:rsidR="005D6846" w14:paraId="69D3DFE3" w14:textId="77777777" w:rsidTr="001F09F8">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590B2CF0" w14:textId="77777777" w:rsidR="005D6846" w:rsidRDefault="005D6846" w:rsidP="001F09F8">
                  <w:pPr>
                    <w:rPr>
                      <w:sz w:val="20"/>
                      <w:szCs w:val="20"/>
                      <w14:ligatures w14:val="none"/>
                    </w:rPr>
                  </w:pPr>
                  <w:hyperlink r:id="rId5" w:history="1">
                    <w:r>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1CC7CD54" w14:textId="77777777" w:rsidR="005D6846" w:rsidRDefault="005D6846" w:rsidP="001F09F8">
                  <w:pPr>
                    <w:rPr>
                      <w:sz w:val="20"/>
                      <w:szCs w:val="20"/>
                      <w14:ligatures w14:val="none"/>
                    </w:rPr>
                  </w:pPr>
                  <w:hyperlink r:id="rId6" w:history="1">
                    <w:r>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381CD6B3" w14:textId="77777777" w:rsidR="005D6846" w:rsidRDefault="005D6846" w:rsidP="001F09F8">
                  <w:pPr>
                    <w:rPr>
                      <w:sz w:val="20"/>
                      <w:szCs w:val="20"/>
                      <w14:ligatures w14:val="none"/>
                    </w:rPr>
                  </w:pPr>
                  <w:hyperlink r:id="rId7" w:history="1">
                    <w:r>
                      <w:rPr>
                        <w:rStyle w:val="Hyperlink"/>
                        <w:sz w:val="20"/>
                        <w:szCs w:val="20"/>
                        <w14:ligatures w14:val="none"/>
                      </w:rPr>
                      <w:t>kcarroll@nationalLife.com</w:t>
                    </w:r>
                  </w:hyperlink>
                  <w:r>
                    <w:rPr>
                      <w:color w:val="000000"/>
                      <w:sz w:val="20"/>
                      <w:szCs w:val="20"/>
                      <w14:ligatures w14:val="none"/>
                    </w:rPr>
                    <w:t xml:space="preserve"> </w:t>
                  </w:r>
                </w:p>
                <w:p w14:paraId="456559EF" w14:textId="77777777" w:rsidR="005D6846" w:rsidRDefault="005D6846" w:rsidP="001F09F8">
                  <w:pPr>
                    <w:rPr>
                      <w:sz w:val="20"/>
                      <w:szCs w:val="20"/>
                      <w14:ligatures w14:val="none"/>
                    </w:rPr>
                  </w:pPr>
                  <w:r>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5C37F58C" w14:textId="77777777" w:rsidR="005D6846" w:rsidRDefault="005D6846" w:rsidP="001F09F8">
                  <w:pPr>
                    <w:rPr>
                      <w:sz w:val="20"/>
                      <w:szCs w:val="20"/>
                      <w14:ligatures w14:val="none"/>
                    </w:rPr>
                  </w:pPr>
                  <w:r>
                    <w:rPr>
                      <w:color w:val="467886"/>
                      <w:sz w:val="20"/>
                      <w:szCs w:val="20"/>
                      <w:u w:val="single"/>
                      <w14:ligatures w14:val="none"/>
                    </w:rPr>
                    <w:t>bp</w:t>
                  </w:r>
                  <w:hyperlink r:id="rId8" w:history="1">
                    <w:r>
                      <w:rPr>
                        <w:rStyle w:val="Hyperlink"/>
                        <w:sz w:val="20"/>
                        <w:szCs w:val="20"/>
                        <w14:ligatures w14:val="none"/>
                      </w:rPr>
                      <w:t>orter@nationalLife.com</w:t>
                    </w:r>
                  </w:hyperlink>
                  <w:r>
                    <w:rPr>
                      <w:color w:val="000000"/>
                      <w:sz w:val="20"/>
                      <w:szCs w:val="20"/>
                      <w14:ligatures w14:val="none"/>
                    </w:rPr>
                    <w:t xml:space="preserve"> </w:t>
                  </w:r>
                </w:p>
              </w:tc>
            </w:tr>
          </w:tbl>
          <w:p w14:paraId="0040F41D" w14:textId="77777777" w:rsidR="005D6846" w:rsidRDefault="005D6846" w:rsidP="001F09F8">
            <w:pPr>
              <w:rPr>
                <w:rFonts w:ascii="Aptos" w:hAnsi="Aptos" w:cs="Aptos"/>
                <w:sz w:val="20"/>
                <w:szCs w:val="20"/>
                <w14:ligatures w14:val="none"/>
              </w:rPr>
            </w:pPr>
            <w:r>
              <w:rPr>
                <w:color w:val="000000"/>
                <w:sz w:val="20"/>
                <w:szCs w:val="20"/>
                <w14:ligatures w14:val="none"/>
              </w:rPr>
              <w:t>  </w:t>
            </w:r>
          </w:p>
        </w:tc>
        <w:tc>
          <w:tcPr>
            <w:tcW w:w="10567" w:type="dxa"/>
            <w:shd w:val="clear" w:color="auto" w:fill="FFFFFF"/>
            <w:tcMar>
              <w:top w:w="15" w:type="dxa"/>
              <w:left w:w="15" w:type="dxa"/>
              <w:bottom w:w="15" w:type="dxa"/>
              <w:right w:w="15" w:type="dxa"/>
            </w:tcMar>
            <w:hideMark/>
          </w:tcPr>
          <w:p w14:paraId="56E1BE8C" w14:textId="77777777" w:rsidR="005D6846" w:rsidRDefault="005D6846" w:rsidP="001F09F8">
            <w:pPr>
              <w:rPr>
                <w:sz w:val="20"/>
                <w:szCs w:val="20"/>
                <w14:ligatures w14:val="none"/>
              </w:rPr>
            </w:pPr>
            <w:r>
              <w:rPr>
                <w:color w:val="000000"/>
                <w:sz w:val="20"/>
                <w:szCs w:val="20"/>
                <w14:ligatures w14:val="none"/>
              </w:rPr>
              <w:t> </w:t>
            </w:r>
          </w:p>
        </w:tc>
      </w:tr>
    </w:tbl>
    <w:p w14:paraId="1E934368" w14:textId="77777777" w:rsidR="005D6846" w:rsidRDefault="005D6846" w:rsidP="005D6846">
      <w:pPr>
        <w:rPr>
          <w:rFonts w:ascii="Calibri" w:hAnsi="Calibri" w:cs="Calibri"/>
          <w:sz w:val="20"/>
          <w:szCs w:val="20"/>
          <w14:ligatures w14:val="none"/>
        </w:rPr>
      </w:pPr>
      <w:r>
        <w:rPr>
          <w:rFonts w:ascii="Calibri" w:hAnsi="Calibri" w:cs="Calibri"/>
          <w:noProof/>
          <w:sz w:val="20"/>
          <w:szCs w:val="20"/>
        </w:rPr>
        <w:lastRenderedPageBreak/>
        <w:drawing>
          <wp:inline distT="0" distB="0" distL="0" distR="0" wp14:anchorId="3A1C3E2A" wp14:editId="6889B3F0">
            <wp:extent cx="2171700" cy="866775"/>
            <wp:effectExtent l="0" t="0" r="0" b="9525"/>
            <wp:docPr id="133232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tbl>
      <w:tblPr>
        <w:tblW w:w="3624" w:type="dxa"/>
        <w:tblCellSpacing w:w="0" w:type="dxa"/>
        <w:tblCellMar>
          <w:left w:w="0" w:type="dxa"/>
          <w:right w:w="0" w:type="dxa"/>
        </w:tblCellMar>
        <w:tblLook w:val="04A0" w:firstRow="1" w:lastRow="0" w:firstColumn="1" w:lastColumn="0" w:noHBand="0" w:noVBand="1"/>
      </w:tblPr>
      <w:tblGrid>
        <w:gridCol w:w="3600"/>
        <w:gridCol w:w="6"/>
        <w:gridCol w:w="6"/>
        <w:gridCol w:w="6"/>
        <w:gridCol w:w="6"/>
      </w:tblGrid>
      <w:tr w:rsidR="005D6846" w14:paraId="527E40BF" w14:textId="77777777" w:rsidTr="001F09F8">
        <w:trPr>
          <w:trHeight w:val="208"/>
          <w:tblCellSpacing w:w="0" w:type="dxa"/>
        </w:trPr>
        <w:tc>
          <w:tcPr>
            <w:tcW w:w="3600" w:type="dxa"/>
            <w:hideMark/>
          </w:tcPr>
          <w:p w14:paraId="128DB22B" w14:textId="77777777" w:rsidR="005D6846" w:rsidRDefault="005D6846" w:rsidP="001F09F8">
            <w:pPr>
              <w:rPr>
                <w:rFonts w:ascii="Calibri" w:hAnsi="Calibri" w:cs="Calibri"/>
                <w:sz w:val="22"/>
                <w:szCs w:val="22"/>
                <w14:ligatures w14:val="none"/>
              </w:rPr>
            </w:pPr>
            <w:r>
              <w:rPr>
                <w:rFonts w:ascii="Calibri" w:hAnsi="Calibri" w:cs="Calibri"/>
                <w:noProof/>
                <w:sz w:val="22"/>
                <w:szCs w:val="22"/>
              </w:rPr>
              <w:drawing>
                <wp:inline distT="0" distB="0" distL="0" distR="0" wp14:anchorId="05C8E07F" wp14:editId="0659279B">
                  <wp:extent cx="2286000" cy="180975"/>
                  <wp:effectExtent l="0" t="0" r="0" b="9525"/>
                  <wp:docPr id="194129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34278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0" cy="180975"/>
                          </a:xfrm>
                          <a:prstGeom prst="rect">
                            <a:avLst/>
                          </a:prstGeom>
                          <a:noFill/>
                          <a:ln>
                            <a:noFill/>
                          </a:ln>
                        </pic:spPr>
                      </pic:pic>
                    </a:graphicData>
                  </a:graphic>
                </wp:inline>
              </w:drawing>
            </w:r>
          </w:p>
        </w:tc>
        <w:tc>
          <w:tcPr>
            <w:tcW w:w="6" w:type="dxa"/>
            <w:hideMark/>
          </w:tcPr>
          <w:p w14:paraId="60F8D6BD" w14:textId="77777777" w:rsidR="005D6846" w:rsidRDefault="005D6846" w:rsidP="001F09F8">
            <w:pPr>
              <w:rPr>
                <w:rFonts w:ascii="Calibri" w:hAnsi="Calibri" w:cs="Calibri"/>
                <w:sz w:val="22"/>
                <w:szCs w:val="22"/>
                <w14:ligatures w14:val="none"/>
              </w:rPr>
            </w:pPr>
          </w:p>
        </w:tc>
        <w:tc>
          <w:tcPr>
            <w:tcW w:w="6" w:type="dxa"/>
            <w:hideMark/>
          </w:tcPr>
          <w:p w14:paraId="4552F690" w14:textId="77777777" w:rsidR="005D6846" w:rsidRDefault="005D6846" w:rsidP="001F09F8">
            <w:pPr>
              <w:rPr>
                <w:rFonts w:ascii="Times New Roman" w:eastAsia="Times New Roman" w:hAnsi="Times New Roman" w:cs="Times New Roman"/>
                <w:sz w:val="20"/>
                <w:szCs w:val="20"/>
                <w14:ligatures w14:val="none"/>
              </w:rPr>
            </w:pPr>
          </w:p>
        </w:tc>
        <w:tc>
          <w:tcPr>
            <w:tcW w:w="6" w:type="dxa"/>
            <w:hideMark/>
          </w:tcPr>
          <w:p w14:paraId="1AC9CD5A" w14:textId="77777777" w:rsidR="005D6846" w:rsidRDefault="005D6846" w:rsidP="001F09F8">
            <w:pPr>
              <w:rPr>
                <w:rFonts w:ascii="Times New Roman" w:eastAsia="Times New Roman" w:hAnsi="Times New Roman" w:cs="Times New Roman"/>
                <w:sz w:val="20"/>
                <w:szCs w:val="20"/>
                <w14:ligatures w14:val="none"/>
              </w:rPr>
            </w:pPr>
          </w:p>
        </w:tc>
        <w:tc>
          <w:tcPr>
            <w:tcW w:w="6" w:type="dxa"/>
            <w:hideMark/>
          </w:tcPr>
          <w:p w14:paraId="4AD7C3C5" w14:textId="77777777" w:rsidR="005D6846" w:rsidRDefault="005D6846" w:rsidP="001F09F8">
            <w:pPr>
              <w:rPr>
                <w:rFonts w:ascii="Times New Roman" w:eastAsia="Times New Roman" w:hAnsi="Times New Roman" w:cs="Times New Roman"/>
                <w:sz w:val="20"/>
                <w:szCs w:val="20"/>
                <w14:ligatures w14:val="none"/>
              </w:rPr>
            </w:pPr>
          </w:p>
        </w:tc>
      </w:tr>
    </w:tbl>
    <w:p w14:paraId="5086B39B" w14:textId="77777777" w:rsidR="005D6846" w:rsidRDefault="005D6846" w:rsidP="005D6846">
      <w:pPr>
        <w:spacing w:before="100" w:beforeAutospacing="1" w:after="100" w:afterAutospacing="1"/>
        <w:rPr>
          <w:rFonts w:ascii="Aptos" w:hAnsi="Aptos" w:cs="Aptos"/>
          <w:sz w:val="22"/>
          <w:szCs w:val="22"/>
        </w:rPr>
      </w:pPr>
      <w:r>
        <w:rPr>
          <w:rFonts w:ascii="Arial" w:hAnsi="Arial" w:cs="Arial"/>
          <w:color w:val="808080"/>
          <w:sz w:val="18"/>
          <w:szCs w:val="18"/>
        </w:rPr>
        <w:t>One National Life Drive, Montpelier, Vermont 05604</w:t>
      </w:r>
      <w:r>
        <w:rPr>
          <w:rFonts w:ascii="Arial" w:hAnsi="Arial" w:cs="Arial"/>
          <w:color w:val="808080"/>
          <w:sz w:val="18"/>
          <w:szCs w:val="18"/>
        </w:rPr>
        <w:br/>
      </w:r>
      <w:r>
        <w:rPr>
          <w:rFonts w:ascii="Arial" w:hAnsi="Arial" w:cs="Arial"/>
          <w:b/>
          <w:bCs/>
          <w:color w:val="808080"/>
          <w:sz w:val="18"/>
          <w:szCs w:val="18"/>
        </w:rPr>
        <w:t>Direct: 312-965-4542</w:t>
      </w:r>
      <w:r>
        <w:rPr>
          <w:rFonts w:ascii="Arial" w:hAnsi="Arial" w:cs="Arial"/>
          <w:color w:val="808080"/>
          <w:sz w:val="18"/>
          <w:szCs w:val="18"/>
        </w:rPr>
        <w:t xml:space="preserve">| </w:t>
      </w:r>
      <w:hyperlink r:id="rId13" w:history="1">
        <w:r>
          <w:rPr>
            <w:rStyle w:val="Hyperlink"/>
            <w:rFonts w:ascii="Arial" w:hAnsi="Arial" w:cs="Arial"/>
            <w:sz w:val="18"/>
            <w:szCs w:val="18"/>
          </w:rPr>
          <w:t>cgeiger@nationallife.com</w:t>
        </w:r>
      </w:hyperlink>
      <w:r>
        <w:rPr>
          <w:rFonts w:ascii="Arial" w:hAnsi="Arial" w:cs="Arial"/>
          <w:color w:val="808080"/>
          <w:sz w:val="18"/>
          <w:szCs w:val="18"/>
        </w:rPr>
        <w:t xml:space="preserve">| </w:t>
      </w:r>
      <w:hyperlink r:id="rId14" w:history="1">
        <w:r>
          <w:rPr>
            <w:rStyle w:val="Hyperlink"/>
            <w:rFonts w:ascii="Arial" w:hAnsi="Arial" w:cs="Arial"/>
            <w:color w:val="92D050"/>
            <w:sz w:val="18"/>
            <w:szCs w:val="18"/>
          </w:rPr>
          <w:t>www.NationalLife.com</w:t>
        </w:r>
      </w:hyperlink>
    </w:p>
    <w:p w14:paraId="5AA52171" w14:textId="77777777" w:rsidR="005D6846" w:rsidRDefault="005D6846" w:rsidP="005D6846">
      <w:pPr>
        <w:rPr>
          <w:rFonts w:ascii="Calibri" w:hAnsi="Calibri" w:cs="Calibri"/>
          <w:sz w:val="22"/>
          <w:szCs w:val="22"/>
        </w:rPr>
      </w:pPr>
      <w:r>
        <w:rPr>
          <w:rFonts w:ascii="Arial" w:hAnsi="Arial" w:cs="Arial"/>
          <w:color w:val="5CA545"/>
          <w:sz w:val="18"/>
          <w:szCs w:val="18"/>
        </w:rPr>
        <w:t>Print Responsibly</w:t>
      </w:r>
    </w:p>
    <w:p w14:paraId="0C00C79E" w14:textId="77777777" w:rsidR="005D6846" w:rsidRDefault="005D6846" w:rsidP="005D6846">
      <w:pPr>
        <w:rPr>
          <w:rFonts w:ascii="Arial" w:hAnsi="Arial" w:cs="Arial"/>
          <w:color w:val="000000"/>
          <w:sz w:val="16"/>
          <w:szCs w:val="16"/>
        </w:rPr>
      </w:pPr>
      <w:r>
        <w:rPr>
          <w:rFonts w:ascii="Arial" w:hAnsi="Arial" w:cs="Arial"/>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3EA68281" w14:textId="5C80E130" w:rsidR="009B153F" w:rsidRPr="009B153F" w:rsidRDefault="009B153F" w:rsidP="005D6846">
      <w:pPr>
        <w:rPr>
          <w:rFonts w:ascii="Calibri" w:hAnsi="Calibri" w:cs="Calibri"/>
          <w:sz w:val="16"/>
          <w:szCs w:val="16"/>
        </w:rPr>
      </w:pPr>
      <w:r w:rsidRPr="009B153F">
        <w:rPr>
          <w:rFonts w:ascii="Calibri" w:hAnsi="Calibri" w:cs="Calibri"/>
          <w:sz w:val="16"/>
          <w:szCs w:val="16"/>
        </w:rPr>
        <w:t>FOR RECRUITING/FINANCIAL PROFESSIONAL USE ONLY - NOT FOR USE WITH THE PUBLIC</w:t>
      </w:r>
    </w:p>
    <w:p w14:paraId="14F6AA87" w14:textId="218532BB" w:rsidR="005D6846" w:rsidRPr="00BD2B4D" w:rsidRDefault="005D6846" w:rsidP="005D6846">
      <w:pPr>
        <w:rPr>
          <w:sz w:val="16"/>
          <w:szCs w:val="16"/>
        </w:rPr>
      </w:pPr>
      <w:r>
        <w:rPr>
          <w:sz w:val="16"/>
          <w:szCs w:val="16"/>
        </w:rPr>
        <w:t xml:space="preserve">This is an advertisement. To be removed from future mailings, please enter email address here: </w:t>
      </w:r>
      <w:hyperlink r:id="rId15" w:history="1">
        <w:r w:rsidRPr="001B58DD">
          <w:rPr>
            <w:rStyle w:val="Hyperlink"/>
            <w:sz w:val="16"/>
            <w:szCs w:val="16"/>
          </w:rPr>
          <w:t>www.nationallifegroup.com/unsub</w:t>
        </w:r>
      </w:hyperlink>
      <w:r>
        <w:rPr>
          <w:sz w:val="16"/>
          <w:szCs w:val="16"/>
        </w:rPr>
        <w:t>. TC</w:t>
      </w:r>
      <w:r w:rsidR="0098129D">
        <w:rPr>
          <w:sz w:val="16"/>
          <w:szCs w:val="16"/>
        </w:rPr>
        <w:t>8046218</w:t>
      </w:r>
      <w:r>
        <w:rPr>
          <w:sz w:val="16"/>
          <w:szCs w:val="16"/>
        </w:rPr>
        <w:t>(0625)1</w:t>
      </w:r>
    </w:p>
    <w:p w14:paraId="55F8C460" w14:textId="77777777" w:rsidR="005D6846" w:rsidRDefault="005D6846" w:rsidP="005D6846">
      <w:pPr>
        <w:rPr>
          <w:sz w:val="16"/>
          <w:szCs w:val="16"/>
        </w:rPr>
      </w:pPr>
      <w:r>
        <w:rPr>
          <w:sz w:val="16"/>
          <w:szCs w:val="16"/>
        </w:rPr>
        <w:t>*</w:t>
      </w:r>
      <w:r w:rsidRPr="00CF109B">
        <w:rPr>
          <w:sz w:val="16"/>
          <w:szCs w:val="16"/>
        </w:rPr>
        <w:t xml:space="preserve">Source: </w:t>
      </w:r>
      <w:r>
        <w:rPr>
          <w:sz w:val="16"/>
          <w:szCs w:val="16"/>
        </w:rPr>
        <w:t xml:space="preserve">Retirement Insecurity 2024 Americans views of Retirement (2/24) Dan Doonan and Kelly Kenneally </w:t>
      </w:r>
      <w:hyperlink r:id="rId16" w:history="1">
        <w:r w:rsidRPr="001B58DD">
          <w:rPr>
            <w:rStyle w:val="Hyperlink"/>
            <w:kern w:val="0"/>
            <w:sz w:val="16"/>
            <w:szCs w:val="16"/>
            <w14:ligatures w14:val="none"/>
          </w:rPr>
          <w:t>https://urldefense.com/v3/__https://www.nirsonline.org/reports/retirementinsecurity2024/__;!!BeEutw6RKg!HLda3__3cmJapa2GvXk3_jsle8o69ui6uxYZfiGyXci4ZqzlGTnSYIL2nabB4umzDDi-4qnxxR_yY5e0nNHCiz1ULXM$</w:t>
        </w:r>
      </w:hyperlink>
    </w:p>
    <w:p w14:paraId="43926DB8" w14:textId="0237E737" w:rsidR="005D6846" w:rsidRDefault="005D6846" w:rsidP="005D6846">
      <w:pPr>
        <w:rPr>
          <w:sz w:val="16"/>
          <w:szCs w:val="16"/>
        </w:rPr>
      </w:pPr>
      <w:r>
        <w:rPr>
          <w:sz w:val="16"/>
          <w:szCs w:val="16"/>
        </w:rPr>
        <w:t>1.</w:t>
      </w:r>
      <w:r w:rsidRPr="00C37196">
        <w:rPr>
          <w:sz w:val="16"/>
          <w:szCs w:val="16"/>
        </w:rPr>
        <w:t>Withdrawals made prior to age 59½ may be subject to</w:t>
      </w:r>
      <w:r>
        <w:rPr>
          <w:sz w:val="16"/>
          <w:szCs w:val="16"/>
        </w:rPr>
        <w:t xml:space="preserve"> </w:t>
      </w:r>
      <w:r w:rsidRPr="00C37196">
        <w:rPr>
          <w:sz w:val="16"/>
          <w:szCs w:val="16"/>
        </w:rPr>
        <w:t>a 10% Federal Tax Penalty. You will still incur a bonus recapture charge, based on how long they’ve had the annuity and how much they withdraw.</w:t>
      </w:r>
      <w:r w:rsidR="00E40833" w:rsidRPr="00E40833">
        <w:t xml:space="preserve"> </w:t>
      </w:r>
      <w:r w:rsidR="00E40833" w:rsidRPr="00E40833">
        <w:rPr>
          <w:sz w:val="16"/>
          <w:szCs w:val="16"/>
        </w:rPr>
        <w:t>The Standard GLIR has a charge of 1% of the benefit base, deducted from the accumulated value annually.</w:t>
      </w:r>
    </w:p>
    <w:p w14:paraId="6387F353" w14:textId="77777777" w:rsidR="005D6846" w:rsidRDefault="005D6846" w:rsidP="005D6846">
      <w:pPr>
        <w:rPr>
          <w:sz w:val="16"/>
          <w:szCs w:val="16"/>
        </w:rPr>
      </w:pPr>
      <w:r>
        <w:rPr>
          <w:sz w:val="16"/>
          <w:szCs w:val="16"/>
        </w:rPr>
        <w:t>2.</w:t>
      </w:r>
      <w:r w:rsidRPr="004E475D">
        <w:rPr>
          <w:sz w:val="16"/>
          <w:szCs w:val="16"/>
        </w:rPr>
        <w:t xml:space="preserve">Guaranteed Lifetime Income Riders (GLIRs) are only available to </w:t>
      </w:r>
      <w:proofErr w:type="gramStart"/>
      <w:r w:rsidRPr="004E475D">
        <w:rPr>
          <w:sz w:val="16"/>
          <w:szCs w:val="16"/>
        </w:rPr>
        <w:t>purchase on</w:t>
      </w:r>
      <w:proofErr w:type="gramEnd"/>
      <w:r w:rsidRPr="004E475D">
        <w:rPr>
          <w:sz w:val="16"/>
          <w:szCs w:val="16"/>
        </w:rPr>
        <w:t xml:space="preserve"> Life Insurance Company of the Southwest (LSW) fixed indexed annuities. Riders are an optional benefit for which premium is charged, are available at issue only, and may not be available in all states.</w:t>
      </w:r>
    </w:p>
    <w:p w14:paraId="718E9BEE" w14:textId="25485655" w:rsidR="005D6846" w:rsidRPr="00790BF9" w:rsidRDefault="005D6846" w:rsidP="005D6846">
      <w:pPr>
        <w:rPr>
          <w:sz w:val="16"/>
          <w:szCs w:val="16"/>
        </w:rPr>
      </w:pPr>
      <w:r>
        <w:rPr>
          <w:rFonts w:ascii="Times New Roman" w:hAnsi="Times New Roman" w:cs="Times New Roman"/>
          <w:color w:val="000000"/>
          <w:kern w:val="0"/>
          <w:sz w:val="16"/>
          <w:szCs w:val="16"/>
          <w14:ligatures w14:val="none"/>
        </w:rPr>
        <w:t>3</w:t>
      </w:r>
      <w:r w:rsidRPr="00486115">
        <w:rPr>
          <w:rFonts w:ascii="Times New Roman" w:hAnsi="Times New Roman" w:cs="Times New Roman"/>
          <w:color w:val="000000"/>
          <w:kern w:val="0"/>
          <w:sz w:val="16"/>
          <w:szCs w:val="16"/>
          <w14:ligatures w14:val="none"/>
        </w:rPr>
        <w:t xml:space="preserve">. To qualify for the Income Doubler, the </w:t>
      </w:r>
      <w:proofErr w:type="gramStart"/>
      <w:r w:rsidRPr="00486115">
        <w:rPr>
          <w:rFonts w:ascii="Times New Roman" w:hAnsi="Times New Roman" w:cs="Times New Roman"/>
          <w:color w:val="000000"/>
          <w:kern w:val="0"/>
          <w:sz w:val="16"/>
          <w:szCs w:val="16"/>
          <w14:ligatures w14:val="none"/>
        </w:rPr>
        <w:t>annuitant</w:t>
      </w:r>
      <w:proofErr w:type="gramEnd"/>
      <w:r w:rsidRPr="00486115">
        <w:rPr>
          <w:rFonts w:ascii="Times New Roman" w:hAnsi="Times New Roman" w:cs="Times New Roman"/>
          <w:color w:val="000000"/>
          <w:kern w:val="0"/>
          <w:sz w:val="16"/>
          <w:szCs w:val="16"/>
          <w14:ligatures w14:val="none"/>
        </w:rPr>
        <w:t xml:space="preserve"> must be unable to perform two of the six Activities of Daily Living permanently.</w:t>
      </w:r>
      <w:r>
        <w:rPr>
          <w:rFonts w:ascii="Times New Roman" w:hAnsi="Times New Roman" w:cs="Times New Roman"/>
          <w:color w:val="000000"/>
          <w:kern w:val="0"/>
          <w:sz w:val="16"/>
          <w:szCs w:val="16"/>
          <w14:ligatures w14:val="none"/>
        </w:rPr>
        <w:t xml:space="preserve"> </w:t>
      </w:r>
    </w:p>
    <w:p w14:paraId="0700DF11" w14:textId="77777777" w:rsidR="005D6846" w:rsidRDefault="005D6846" w:rsidP="005D6846">
      <w:pPr>
        <w:rPr>
          <w:sz w:val="16"/>
          <w:szCs w:val="16"/>
        </w:rPr>
      </w:pPr>
    </w:p>
    <w:p w14:paraId="4F1B14CC" w14:textId="77777777" w:rsidR="00E30905" w:rsidRDefault="00E30905"/>
    <w:sectPr w:rsidR="00E3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B322F"/>
    <w:multiLevelType w:val="hybridMultilevel"/>
    <w:tmpl w:val="E958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01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6"/>
    <w:rsid w:val="000A6E9D"/>
    <w:rsid w:val="00472839"/>
    <w:rsid w:val="005D6846"/>
    <w:rsid w:val="00747802"/>
    <w:rsid w:val="0098129D"/>
    <w:rsid w:val="009B153F"/>
    <w:rsid w:val="00A60F7E"/>
    <w:rsid w:val="00AA6C65"/>
    <w:rsid w:val="00E30905"/>
    <w:rsid w:val="00E40833"/>
    <w:rsid w:val="00FA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D7B2"/>
  <w15:chartTrackingRefBased/>
  <w15:docId w15:val="{17669693-2F63-4D83-B2A9-5209CF3F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6"/>
  </w:style>
  <w:style w:type="paragraph" w:styleId="Heading1">
    <w:name w:val="heading 1"/>
    <w:basedOn w:val="Normal"/>
    <w:next w:val="Normal"/>
    <w:link w:val="Heading1Char"/>
    <w:uiPriority w:val="9"/>
    <w:qFormat/>
    <w:rsid w:val="005D6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846"/>
    <w:rPr>
      <w:rFonts w:eastAsiaTheme="majorEastAsia" w:cstheme="majorBidi"/>
      <w:color w:val="272727" w:themeColor="text1" w:themeTint="D8"/>
    </w:rPr>
  </w:style>
  <w:style w:type="paragraph" w:styleId="Title">
    <w:name w:val="Title"/>
    <w:basedOn w:val="Normal"/>
    <w:next w:val="Normal"/>
    <w:link w:val="TitleChar"/>
    <w:uiPriority w:val="10"/>
    <w:qFormat/>
    <w:rsid w:val="005D6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846"/>
    <w:pPr>
      <w:spacing w:before="160"/>
      <w:jc w:val="center"/>
    </w:pPr>
    <w:rPr>
      <w:i/>
      <w:iCs/>
      <w:color w:val="404040" w:themeColor="text1" w:themeTint="BF"/>
    </w:rPr>
  </w:style>
  <w:style w:type="character" w:customStyle="1" w:styleId="QuoteChar">
    <w:name w:val="Quote Char"/>
    <w:basedOn w:val="DefaultParagraphFont"/>
    <w:link w:val="Quote"/>
    <w:uiPriority w:val="29"/>
    <w:rsid w:val="005D6846"/>
    <w:rPr>
      <w:i/>
      <w:iCs/>
      <w:color w:val="404040" w:themeColor="text1" w:themeTint="BF"/>
    </w:rPr>
  </w:style>
  <w:style w:type="paragraph" w:styleId="ListParagraph">
    <w:name w:val="List Paragraph"/>
    <w:basedOn w:val="Normal"/>
    <w:uiPriority w:val="34"/>
    <w:qFormat/>
    <w:rsid w:val="005D6846"/>
    <w:pPr>
      <w:ind w:left="720"/>
      <w:contextualSpacing/>
    </w:pPr>
  </w:style>
  <w:style w:type="character" w:styleId="IntenseEmphasis">
    <w:name w:val="Intense Emphasis"/>
    <w:basedOn w:val="DefaultParagraphFont"/>
    <w:uiPriority w:val="21"/>
    <w:qFormat/>
    <w:rsid w:val="005D6846"/>
    <w:rPr>
      <w:i/>
      <w:iCs/>
      <w:color w:val="0F4761" w:themeColor="accent1" w:themeShade="BF"/>
    </w:rPr>
  </w:style>
  <w:style w:type="paragraph" w:styleId="IntenseQuote">
    <w:name w:val="Intense Quote"/>
    <w:basedOn w:val="Normal"/>
    <w:next w:val="Normal"/>
    <w:link w:val="IntenseQuoteChar"/>
    <w:uiPriority w:val="30"/>
    <w:qFormat/>
    <w:rsid w:val="005D6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846"/>
    <w:rPr>
      <w:i/>
      <w:iCs/>
      <w:color w:val="0F4761" w:themeColor="accent1" w:themeShade="BF"/>
    </w:rPr>
  </w:style>
  <w:style w:type="character" w:styleId="IntenseReference">
    <w:name w:val="Intense Reference"/>
    <w:basedOn w:val="DefaultParagraphFont"/>
    <w:uiPriority w:val="32"/>
    <w:qFormat/>
    <w:rsid w:val="005D6846"/>
    <w:rPr>
      <w:b/>
      <w:bCs/>
      <w:smallCaps/>
      <w:color w:val="0F4761" w:themeColor="accent1" w:themeShade="BF"/>
      <w:spacing w:val="5"/>
    </w:rPr>
  </w:style>
  <w:style w:type="paragraph" w:styleId="NormalWeb">
    <w:name w:val="Normal (Web)"/>
    <w:basedOn w:val="Normal"/>
    <w:uiPriority w:val="99"/>
    <w:semiHidden/>
    <w:unhideWhenUsed/>
    <w:rsid w:val="005D6846"/>
    <w:pPr>
      <w:spacing w:before="100" w:beforeAutospacing="1" w:after="100" w:afterAutospacing="1" w:line="240" w:lineRule="auto"/>
    </w:pPr>
    <w:rPr>
      <w:rFonts w:ascii="Aptos" w:hAnsi="Aptos" w:cs="Aptos"/>
      <w:kern w:val="0"/>
      <w14:ligatures w14:val="none"/>
    </w:rPr>
  </w:style>
  <w:style w:type="character" w:styleId="Hyperlink">
    <w:name w:val="Hyperlink"/>
    <w:basedOn w:val="DefaultParagraphFont"/>
    <w:uiPriority w:val="99"/>
    <w:unhideWhenUsed/>
    <w:rsid w:val="005D68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er@nationalLife.com" TargetMode="External"/><Relationship Id="rId13" Type="http://schemas.openxmlformats.org/officeDocument/2006/relationships/hyperlink" Target="mailto:cgeiger@nationallif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arroll@nationalLife.com" TargetMode="External"/><Relationship Id="rId12" Type="http://schemas.openxmlformats.org/officeDocument/2006/relationships/image" Target="cid:image002.png@01DC102D.833AE5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s://www.nirsonline.org/reports/retirementinsecurity2024/__;!!BeEutw6RKg!HLda3__3cmJapa2GvXk3_jsle8o69ui6uxYZfiGyXci4ZqzlGTnSYIL2nabB4umzDDi-4qnxxR_yY5e0nNHCiz1ULXM$" TargetMode="External"/><Relationship Id="rId1" Type="http://schemas.openxmlformats.org/officeDocument/2006/relationships/numbering" Target="numbering.xml"/><Relationship Id="rId6" Type="http://schemas.openxmlformats.org/officeDocument/2006/relationships/hyperlink" Target="mailto:bblake@nationalLife.com" TargetMode="External"/><Relationship Id="rId11" Type="http://schemas.openxmlformats.org/officeDocument/2006/relationships/image" Target="media/image2.png"/><Relationship Id="rId5" Type="http://schemas.openxmlformats.org/officeDocument/2006/relationships/hyperlink" Target="mailto:cgeiger@nationalLife.com" TargetMode="External"/><Relationship Id="rId15" Type="http://schemas.openxmlformats.org/officeDocument/2006/relationships/hyperlink" Target="http://www.nationallifegroup.com/unsub" TargetMode="External"/><Relationship Id="rId10" Type="http://schemas.openxmlformats.org/officeDocument/2006/relationships/image" Target="cid:image001.jpg@01DC102D.833AE5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national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2025-08-25T18:23:00Z</dcterms:created>
  <dcterms:modified xsi:type="dcterms:W3CDTF">2025-08-25T18:23:00Z</dcterms:modified>
</cp:coreProperties>
</file>