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CC30" w14:textId="6A5DCC80" w:rsidR="00E30905" w:rsidRDefault="000422D3">
      <w:r>
        <w:t xml:space="preserve">Headline: 70% and $124 Trillion Dollars </w:t>
      </w:r>
    </w:p>
    <w:p w14:paraId="30F10F77" w14:textId="77777777" w:rsidR="000422D3" w:rsidRDefault="000422D3"/>
    <w:p w14:paraId="1702FB2F" w14:textId="0D246A87" w:rsidR="000422D3" w:rsidRDefault="000422D3">
      <w:r>
        <w:t>NLG Partner,</w:t>
      </w:r>
    </w:p>
    <w:p w14:paraId="2674CB43" w14:textId="70835226" w:rsidR="000422D3" w:rsidRDefault="000422D3">
      <w:r>
        <w:t>A recent article pointed to “The Great Wealth Transfer” that will change hands by 2048!</w:t>
      </w:r>
    </w:p>
    <w:p w14:paraId="2E22FEE9" w14:textId="742D40D2" w:rsidR="000422D3" w:rsidRDefault="000422D3" w:rsidP="000422D3">
      <w:pPr>
        <w:pStyle w:val="ListParagraph"/>
        <w:numPr>
          <w:ilvl w:val="0"/>
          <w:numId w:val="1"/>
        </w:numPr>
      </w:pPr>
      <w:r>
        <w:t>Wom</w:t>
      </w:r>
      <w:r w:rsidR="00DA6CA6">
        <w:t>e</w:t>
      </w:r>
      <w:r>
        <w:t>n will inherit about 70% of the $124 trillion dollars over the course of the next 25 years.</w:t>
      </w:r>
    </w:p>
    <w:p w14:paraId="31B9A196" w14:textId="009AA82F" w:rsidR="000422D3" w:rsidRDefault="000422D3" w:rsidP="000422D3">
      <w:pPr>
        <w:pStyle w:val="ListParagraph"/>
        <w:numPr>
          <w:ilvl w:val="0"/>
          <w:numId w:val="1"/>
        </w:numPr>
      </w:pPr>
      <w:r>
        <w:t>$54 trillion will go to surviving spouses</w:t>
      </w:r>
    </w:p>
    <w:p w14:paraId="45A7248C" w14:textId="62E25B09" w:rsidR="000422D3" w:rsidRDefault="000422D3" w:rsidP="000422D3">
      <w:pPr>
        <w:pStyle w:val="ListParagraph"/>
        <w:numPr>
          <w:ilvl w:val="0"/>
          <w:numId w:val="1"/>
        </w:numPr>
      </w:pPr>
      <w:r>
        <w:t>$47 trillion is expected to be passed to wom</w:t>
      </w:r>
      <w:r w:rsidR="00CF766D">
        <w:t>e</w:t>
      </w:r>
      <w:r>
        <w:t>n in younger generations</w:t>
      </w:r>
      <w:r w:rsidR="0075758E" w:rsidRPr="0075758E">
        <w:rPr>
          <w:sz w:val="16"/>
          <w:szCs w:val="16"/>
        </w:rPr>
        <w:t>1</w:t>
      </w:r>
    </w:p>
    <w:p w14:paraId="4BC1EE34" w14:textId="229ACC56" w:rsidR="000422D3" w:rsidRDefault="000422D3" w:rsidP="000422D3">
      <w:r>
        <w:t>Help</w:t>
      </w:r>
      <w:r w:rsidR="005522EA">
        <w:t>s people</w:t>
      </w:r>
      <w:r>
        <w:t xml:space="preserve"> protect these assets and </w:t>
      </w:r>
      <w:r w:rsidR="007126C6">
        <w:t>potentially</w:t>
      </w:r>
      <w:r>
        <w:t xml:space="preserve"> grow them with a Fixed Index</w:t>
      </w:r>
      <w:r w:rsidR="0075758E">
        <w:t>ed</w:t>
      </w:r>
      <w:r>
        <w:t xml:space="preserve"> Annuity!</w:t>
      </w:r>
      <w:r w:rsidR="006961C8" w:rsidRPr="006961C8">
        <w:rPr>
          <w:sz w:val="16"/>
          <w:szCs w:val="16"/>
        </w:rPr>
        <w:t>2</w:t>
      </w:r>
    </w:p>
    <w:p w14:paraId="1AA96041" w14:textId="2ADF4368" w:rsidR="00364DDF" w:rsidRPr="003163FF" w:rsidRDefault="00364DDF" w:rsidP="00364DDF">
      <w:r>
        <w:t xml:space="preserve">National Life Group® provides access </w:t>
      </w:r>
      <w:r w:rsidRPr="003163FF">
        <w:t>to the Growth Driver Fixed Indexed Annuity that offers accumulation with a bonus</w:t>
      </w:r>
      <w:r w:rsidR="006961C8">
        <w:rPr>
          <w:vertAlign w:val="superscript"/>
        </w:rPr>
        <w:t xml:space="preserve">3 </w:t>
      </w:r>
      <w:r w:rsidRPr="003163FF">
        <w:t>that’s available:</w:t>
      </w:r>
    </w:p>
    <w:p w14:paraId="6EDE51B0" w14:textId="685511DA" w:rsidR="00364DDF" w:rsidRPr="003163FF" w:rsidRDefault="00364DDF" w:rsidP="00364DDF">
      <w:pPr>
        <w:pStyle w:val="ListParagraph"/>
        <w:numPr>
          <w:ilvl w:val="0"/>
          <w:numId w:val="2"/>
        </w:numPr>
        <w:rPr>
          <w:b/>
          <w:bCs/>
        </w:rPr>
      </w:pPr>
      <w:r w:rsidRPr="003163FF">
        <w:rPr>
          <w:b/>
          <w:bCs/>
        </w:rPr>
        <w:t>7- or 10-Year Surrender Charge Options</w:t>
      </w:r>
      <w:r w:rsidR="006961C8">
        <w:rPr>
          <w:b/>
          <w:bCs/>
          <w:vertAlign w:val="superscript"/>
        </w:rPr>
        <w:t>4</w:t>
      </w:r>
    </w:p>
    <w:p w14:paraId="61F0BE5C" w14:textId="77777777" w:rsidR="00364DDF" w:rsidRPr="003163FF" w:rsidRDefault="00364DDF" w:rsidP="00364DDF">
      <w:pPr>
        <w:pStyle w:val="ListParagraph"/>
        <w:numPr>
          <w:ilvl w:val="0"/>
          <w:numId w:val="2"/>
        </w:numPr>
        <w:rPr>
          <w:b/>
          <w:bCs/>
        </w:rPr>
      </w:pPr>
      <w:r w:rsidRPr="003163FF">
        <w:rPr>
          <w:b/>
          <w:bCs/>
        </w:rPr>
        <w:t>Growth Driver 7 has a 7% Bonus</w:t>
      </w:r>
    </w:p>
    <w:p w14:paraId="6BC3B15A" w14:textId="77777777" w:rsidR="00364DDF" w:rsidRPr="003163FF" w:rsidRDefault="00364DDF" w:rsidP="00364DDF">
      <w:pPr>
        <w:pStyle w:val="ListParagraph"/>
        <w:numPr>
          <w:ilvl w:val="0"/>
          <w:numId w:val="2"/>
        </w:numPr>
        <w:rPr>
          <w:b/>
          <w:bCs/>
        </w:rPr>
      </w:pPr>
      <w:r w:rsidRPr="003163FF">
        <w:rPr>
          <w:b/>
          <w:bCs/>
        </w:rPr>
        <w:t xml:space="preserve">Growth Driver 10 has a 10% Bonus </w:t>
      </w:r>
    </w:p>
    <w:p w14:paraId="041C95D3" w14:textId="5D0C198A" w:rsidR="00364DDF" w:rsidRPr="00B50017" w:rsidRDefault="00364DDF" w:rsidP="00364DDF">
      <w:pPr>
        <w:pStyle w:val="ListParagraph"/>
        <w:numPr>
          <w:ilvl w:val="0"/>
          <w:numId w:val="2"/>
        </w:numPr>
        <w:rPr>
          <w:b/>
          <w:bCs/>
        </w:rPr>
      </w:pPr>
      <w:r w:rsidRPr="003163FF">
        <w:rPr>
          <w:b/>
          <w:bCs/>
        </w:rPr>
        <w:t>Fixed Rate or Indexed Crediting Options available</w:t>
      </w:r>
    </w:p>
    <w:p w14:paraId="57AC778C" w14:textId="77777777" w:rsidR="00364DDF" w:rsidRDefault="00364DDF" w:rsidP="00364DDF">
      <w:r>
        <w:t>Contact Bryan or I if you have any questions or need a quote today!</w:t>
      </w:r>
    </w:p>
    <w:p w14:paraId="0E732309" w14:textId="77777777" w:rsidR="00364DDF" w:rsidRDefault="00364DDF" w:rsidP="00364DDF">
      <w:r>
        <w:t>Good Selling,</w:t>
      </w:r>
    </w:p>
    <w:tbl>
      <w:tblPr>
        <w:tblW w:w="0" w:type="auto"/>
        <w:shd w:val="clear" w:color="auto" w:fill="FFFFFF"/>
        <w:tblCellMar>
          <w:left w:w="0" w:type="dxa"/>
          <w:right w:w="0" w:type="dxa"/>
        </w:tblCellMar>
        <w:tblLook w:val="04A0" w:firstRow="1" w:lastRow="0" w:firstColumn="1" w:lastColumn="0" w:noHBand="0" w:noVBand="1"/>
      </w:tblPr>
      <w:tblGrid>
        <w:gridCol w:w="9295"/>
        <w:gridCol w:w="65"/>
      </w:tblGrid>
      <w:tr w:rsidR="00364DDF" w:rsidRPr="003163FF" w14:paraId="52F83EA4" w14:textId="77777777" w:rsidTr="005E2C3A">
        <w:trPr>
          <w:trHeight w:val="2383"/>
        </w:trPr>
        <w:tc>
          <w:tcPr>
            <w:tcW w:w="9295" w:type="dxa"/>
            <w:shd w:val="clear" w:color="auto" w:fill="FFFFFF"/>
            <w:tcMar>
              <w:top w:w="144" w:type="dxa"/>
              <w:left w:w="15" w:type="dxa"/>
              <w:bottom w:w="15" w:type="dxa"/>
              <w:right w:w="15" w:type="dxa"/>
            </w:tcMar>
            <w:hideMark/>
          </w:tcPr>
          <w:tbl>
            <w:tblPr>
              <w:tblW w:w="10722" w:type="dxa"/>
              <w:tblCellMar>
                <w:left w:w="0" w:type="dxa"/>
                <w:right w:w="0" w:type="dxa"/>
              </w:tblCellMar>
              <w:tblLook w:val="04A0" w:firstRow="1" w:lastRow="0" w:firstColumn="1" w:lastColumn="0" w:noHBand="0" w:noVBand="1"/>
            </w:tblPr>
            <w:tblGrid>
              <w:gridCol w:w="2863"/>
              <w:gridCol w:w="2617"/>
              <w:gridCol w:w="2701"/>
              <w:gridCol w:w="2541"/>
            </w:tblGrid>
            <w:tr w:rsidR="00364DDF" w:rsidRPr="003163FF" w14:paraId="416BA958" w14:textId="77777777" w:rsidTr="005E2C3A">
              <w:trPr>
                <w:trHeight w:val="475"/>
              </w:trPr>
              <w:tc>
                <w:tcPr>
                  <w:tcW w:w="2863" w:type="dxa"/>
                  <w:tcBorders>
                    <w:top w:val="nil"/>
                    <w:left w:val="nil"/>
                    <w:bottom w:val="nil"/>
                    <w:right w:val="single" w:sz="8" w:space="0" w:color="auto"/>
                  </w:tcBorders>
                  <w:tcMar>
                    <w:top w:w="0" w:type="dxa"/>
                    <w:left w:w="108" w:type="dxa"/>
                    <w:bottom w:w="0" w:type="dxa"/>
                    <w:right w:w="108" w:type="dxa"/>
                  </w:tcMar>
                  <w:hideMark/>
                </w:tcPr>
                <w:p w14:paraId="7213B655" w14:textId="77777777" w:rsidR="00364DDF" w:rsidRPr="003163FF" w:rsidRDefault="00364DDF" w:rsidP="005E2C3A">
                  <w:pPr>
                    <w:rPr>
                      <w:b/>
                      <w:bCs/>
                      <w:sz w:val="20"/>
                      <w:szCs w:val="20"/>
                      <w14:ligatures w14:val="none"/>
                    </w:rPr>
                  </w:pPr>
                  <w:r w:rsidRPr="003163FF">
                    <w:rPr>
                      <w:b/>
                      <w:bCs/>
                      <w:color w:val="000000"/>
                      <w:sz w:val="20"/>
                      <w:szCs w:val="20"/>
                      <w14:ligatures w14:val="none"/>
                    </w:rPr>
                    <w:t>Craig J. Geiger</w:t>
                  </w:r>
                  <w:r w:rsidRPr="003163FF">
                    <w:rPr>
                      <w:b/>
                      <w:bCs/>
                      <w:sz w:val="20"/>
                      <w:szCs w:val="20"/>
                      <w14:ligatures w14:val="none"/>
                    </w:rPr>
                    <w:t xml:space="preserve"> </w:t>
                  </w:r>
                </w:p>
              </w:tc>
              <w:tc>
                <w:tcPr>
                  <w:tcW w:w="2617" w:type="dxa"/>
                  <w:tcBorders>
                    <w:top w:val="nil"/>
                    <w:left w:val="nil"/>
                    <w:bottom w:val="nil"/>
                    <w:right w:val="single" w:sz="8" w:space="0" w:color="auto"/>
                  </w:tcBorders>
                  <w:tcMar>
                    <w:top w:w="0" w:type="dxa"/>
                    <w:left w:w="108" w:type="dxa"/>
                    <w:bottom w:w="0" w:type="dxa"/>
                    <w:right w:w="108" w:type="dxa"/>
                  </w:tcMar>
                  <w:hideMark/>
                </w:tcPr>
                <w:p w14:paraId="7946BF34" w14:textId="77777777" w:rsidR="00364DDF" w:rsidRPr="003163FF" w:rsidRDefault="00364DDF" w:rsidP="005E2C3A">
                  <w:pPr>
                    <w:rPr>
                      <w:sz w:val="20"/>
                      <w:szCs w:val="20"/>
                      <w14:ligatures w14:val="none"/>
                    </w:rPr>
                  </w:pPr>
                  <w:r w:rsidRPr="003163FF">
                    <w:rPr>
                      <w:b/>
                      <w:bCs/>
                      <w:color w:val="000000"/>
                      <w:sz w:val="20"/>
                      <w:szCs w:val="20"/>
                      <w14:ligatures w14:val="none"/>
                    </w:rPr>
                    <w:t>Bryan Blake</w:t>
                  </w:r>
                </w:p>
              </w:tc>
              <w:tc>
                <w:tcPr>
                  <w:tcW w:w="2701" w:type="dxa"/>
                  <w:tcBorders>
                    <w:top w:val="nil"/>
                    <w:left w:val="nil"/>
                    <w:bottom w:val="nil"/>
                    <w:right w:val="single" w:sz="8" w:space="0" w:color="auto"/>
                  </w:tcBorders>
                  <w:tcMar>
                    <w:top w:w="0" w:type="dxa"/>
                    <w:left w:w="108" w:type="dxa"/>
                    <w:bottom w:w="0" w:type="dxa"/>
                    <w:right w:w="108" w:type="dxa"/>
                  </w:tcMar>
                  <w:hideMark/>
                </w:tcPr>
                <w:p w14:paraId="2A22367D" w14:textId="77777777" w:rsidR="00364DDF" w:rsidRPr="003163FF" w:rsidRDefault="00364DDF" w:rsidP="005E2C3A">
                  <w:pPr>
                    <w:rPr>
                      <w:sz w:val="20"/>
                      <w:szCs w:val="20"/>
                      <w14:ligatures w14:val="none"/>
                    </w:rPr>
                  </w:pPr>
                  <w:r w:rsidRPr="003163FF">
                    <w:rPr>
                      <w:b/>
                      <w:bCs/>
                      <w:color w:val="000000"/>
                      <w:sz w:val="20"/>
                      <w:szCs w:val="20"/>
                      <w14:ligatures w14:val="none"/>
                    </w:rPr>
                    <w:t>Kyle Carroll</w:t>
                  </w:r>
                </w:p>
              </w:tc>
              <w:tc>
                <w:tcPr>
                  <w:tcW w:w="2541" w:type="dxa"/>
                  <w:tcBorders>
                    <w:top w:val="nil"/>
                    <w:left w:val="nil"/>
                    <w:bottom w:val="nil"/>
                    <w:right w:val="single" w:sz="8" w:space="0" w:color="auto"/>
                  </w:tcBorders>
                  <w:tcMar>
                    <w:top w:w="0" w:type="dxa"/>
                    <w:left w:w="108" w:type="dxa"/>
                    <w:bottom w:w="0" w:type="dxa"/>
                    <w:right w:w="108" w:type="dxa"/>
                  </w:tcMar>
                  <w:hideMark/>
                </w:tcPr>
                <w:p w14:paraId="7D9111FA" w14:textId="77777777" w:rsidR="00364DDF" w:rsidRPr="003163FF" w:rsidRDefault="00364DDF" w:rsidP="005E2C3A">
                  <w:pPr>
                    <w:rPr>
                      <w:sz w:val="20"/>
                      <w:szCs w:val="20"/>
                      <w14:ligatures w14:val="none"/>
                    </w:rPr>
                  </w:pPr>
                  <w:r w:rsidRPr="003163FF">
                    <w:rPr>
                      <w:b/>
                      <w:bCs/>
                      <w:color w:val="000000"/>
                      <w:sz w:val="20"/>
                      <w:szCs w:val="20"/>
                      <w14:ligatures w14:val="none"/>
                    </w:rPr>
                    <w:t>Brittany Porter</w:t>
                  </w:r>
                </w:p>
              </w:tc>
            </w:tr>
            <w:tr w:rsidR="00364DDF" w:rsidRPr="003163FF" w14:paraId="1E2973A8" w14:textId="77777777" w:rsidTr="005E2C3A">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5A4C62D1" w14:textId="77777777" w:rsidR="00364DDF" w:rsidRPr="003163FF" w:rsidRDefault="00364DDF" w:rsidP="005E2C3A">
                  <w:pPr>
                    <w:rPr>
                      <w:sz w:val="20"/>
                      <w:szCs w:val="20"/>
                      <w14:ligatures w14:val="none"/>
                    </w:rPr>
                  </w:pPr>
                  <w:r w:rsidRPr="003163FF">
                    <w:rPr>
                      <w:color w:val="000000"/>
                      <w:sz w:val="20"/>
                      <w:szCs w:val="20"/>
                      <w14:ligatures w14:val="none"/>
                    </w:rPr>
                    <w:t>National Accounts Representative</w:t>
                  </w:r>
                </w:p>
              </w:tc>
              <w:tc>
                <w:tcPr>
                  <w:tcW w:w="2617" w:type="dxa"/>
                  <w:tcBorders>
                    <w:top w:val="nil"/>
                    <w:left w:val="nil"/>
                    <w:bottom w:val="nil"/>
                    <w:right w:val="single" w:sz="8" w:space="0" w:color="auto"/>
                  </w:tcBorders>
                  <w:tcMar>
                    <w:top w:w="0" w:type="dxa"/>
                    <w:left w:w="108" w:type="dxa"/>
                    <w:bottom w:w="0" w:type="dxa"/>
                    <w:right w:w="108" w:type="dxa"/>
                  </w:tcMar>
                  <w:hideMark/>
                </w:tcPr>
                <w:p w14:paraId="3F77E190" w14:textId="77777777" w:rsidR="00364DDF" w:rsidRPr="003163FF" w:rsidRDefault="00364DDF" w:rsidP="005E2C3A">
                  <w:pPr>
                    <w:rPr>
                      <w:sz w:val="20"/>
                      <w:szCs w:val="20"/>
                      <w14:ligatures w14:val="none"/>
                    </w:rPr>
                  </w:pPr>
                  <w:r w:rsidRPr="003163FF">
                    <w:rPr>
                      <w:color w:val="000000"/>
                      <w:sz w:val="20"/>
                      <w:szCs w:val="20"/>
                      <w14:ligatures w14:val="none"/>
                    </w:rPr>
                    <w:t>Senior Internal Wholesaler</w:t>
                  </w:r>
                </w:p>
              </w:tc>
              <w:tc>
                <w:tcPr>
                  <w:tcW w:w="2701" w:type="dxa"/>
                  <w:tcBorders>
                    <w:top w:val="nil"/>
                    <w:left w:val="nil"/>
                    <w:bottom w:val="nil"/>
                    <w:right w:val="single" w:sz="8" w:space="0" w:color="auto"/>
                  </w:tcBorders>
                  <w:tcMar>
                    <w:top w:w="0" w:type="dxa"/>
                    <w:left w:w="108" w:type="dxa"/>
                    <w:bottom w:w="0" w:type="dxa"/>
                    <w:right w:w="108" w:type="dxa"/>
                  </w:tcMar>
                  <w:hideMark/>
                </w:tcPr>
                <w:p w14:paraId="751531E4" w14:textId="77777777" w:rsidR="00364DDF" w:rsidRPr="003163FF" w:rsidRDefault="00364DDF" w:rsidP="005E2C3A">
                  <w:pPr>
                    <w:rPr>
                      <w:sz w:val="20"/>
                      <w:szCs w:val="20"/>
                      <w14:ligatures w14:val="none"/>
                    </w:rPr>
                  </w:pPr>
                  <w:r w:rsidRPr="003163FF">
                    <w:rPr>
                      <w:color w:val="000000"/>
                      <w:sz w:val="20"/>
                      <w:szCs w:val="20"/>
                      <w14:ligatures w14:val="none"/>
                    </w:rPr>
                    <w:t>Internal Wholesaler</w:t>
                  </w:r>
                </w:p>
              </w:tc>
              <w:tc>
                <w:tcPr>
                  <w:tcW w:w="2541" w:type="dxa"/>
                  <w:tcBorders>
                    <w:top w:val="nil"/>
                    <w:left w:val="nil"/>
                    <w:bottom w:val="nil"/>
                    <w:right w:val="single" w:sz="8" w:space="0" w:color="auto"/>
                  </w:tcBorders>
                  <w:tcMar>
                    <w:top w:w="0" w:type="dxa"/>
                    <w:left w:w="108" w:type="dxa"/>
                    <w:bottom w:w="0" w:type="dxa"/>
                    <w:right w:w="108" w:type="dxa"/>
                  </w:tcMar>
                  <w:hideMark/>
                </w:tcPr>
                <w:p w14:paraId="4927FD33" w14:textId="77777777" w:rsidR="00364DDF" w:rsidRPr="003163FF" w:rsidRDefault="00364DDF" w:rsidP="005E2C3A">
                  <w:pPr>
                    <w:rPr>
                      <w:sz w:val="20"/>
                      <w:szCs w:val="20"/>
                      <w14:ligatures w14:val="none"/>
                    </w:rPr>
                  </w:pPr>
                  <w:r w:rsidRPr="003163FF">
                    <w:rPr>
                      <w:color w:val="000000"/>
                      <w:sz w:val="20"/>
                      <w:szCs w:val="20"/>
                      <w14:ligatures w14:val="none"/>
                    </w:rPr>
                    <w:t>Annuity Field Advocate</w:t>
                  </w:r>
                </w:p>
              </w:tc>
            </w:tr>
            <w:tr w:rsidR="00364DDF" w:rsidRPr="003163FF" w14:paraId="33008BC3" w14:textId="77777777" w:rsidTr="005E2C3A">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3746BD9D" w14:textId="77777777" w:rsidR="00364DDF" w:rsidRPr="003163FF" w:rsidRDefault="00364DDF" w:rsidP="005E2C3A">
                  <w:pPr>
                    <w:rPr>
                      <w:sz w:val="20"/>
                      <w:szCs w:val="20"/>
                      <w14:ligatures w14:val="none"/>
                    </w:rPr>
                  </w:pPr>
                  <w:r w:rsidRPr="003163FF">
                    <w:rPr>
                      <w:color w:val="000000"/>
                      <w:sz w:val="20"/>
                      <w:szCs w:val="20"/>
                      <w14:ligatures w14:val="none"/>
                    </w:rPr>
                    <w:t>Annuities</w:t>
                  </w:r>
                </w:p>
              </w:tc>
              <w:tc>
                <w:tcPr>
                  <w:tcW w:w="2617" w:type="dxa"/>
                  <w:tcBorders>
                    <w:top w:val="nil"/>
                    <w:left w:val="nil"/>
                    <w:bottom w:val="nil"/>
                    <w:right w:val="single" w:sz="8" w:space="0" w:color="auto"/>
                  </w:tcBorders>
                  <w:tcMar>
                    <w:top w:w="0" w:type="dxa"/>
                    <w:left w:w="108" w:type="dxa"/>
                    <w:bottom w:w="0" w:type="dxa"/>
                    <w:right w:w="108" w:type="dxa"/>
                  </w:tcMar>
                  <w:hideMark/>
                </w:tcPr>
                <w:p w14:paraId="2FE4F1C0" w14:textId="77777777" w:rsidR="00364DDF" w:rsidRPr="003163FF" w:rsidRDefault="00364DDF" w:rsidP="005E2C3A">
                  <w:pPr>
                    <w:rPr>
                      <w:sz w:val="20"/>
                      <w:szCs w:val="20"/>
                      <w14:ligatures w14:val="none"/>
                    </w:rPr>
                  </w:pPr>
                  <w:r w:rsidRPr="003163FF">
                    <w:rPr>
                      <w:color w:val="000000"/>
                      <w:sz w:val="20"/>
                      <w:szCs w:val="20"/>
                      <w14:ligatures w14:val="none"/>
                    </w:rPr>
                    <w:t>Annuity and Life Sales Desk</w:t>
                  </w:r>
                </w:p>
              </w:tc>
              <w:tc>
                <w:tcPr>
                  <w:tcW w:w="2701" w:type="dxa"/>
                  <w:tcBorders>
                    <w:top w:val="nil"/>
                    <w:left w:val="nil"/>
                    <w:bottom w:val="nil"/>
                    <w:right w:val="single" w:sz="8" w:space="0" w:color="auto"/>
                  </w:tcBorders>
                  <w:tcMar>
                    <w:top w:w="0" w:type="dxa"/>
                    <w:left w:w="108" w:type="dxa"/>
                    <w:bottom w:w="0" w:type="dxa"/>
                    <w:right w:w="108" w:type="dxa"/>
                  </w:tcMar>
                  <w:hideMark/>
                </w:tcPr>
                <w:p w14:paraId="7D1B11B0" w14:textId="77777777" w:rsidR="00364DDF" w:rsidRPr="003163FF" w:rsidRDefault="00364DDF" w:rsidP="005E2C3A">
                  <w:pPr>
                    <w:rPr>
                      <w:sz w:val="20"/>
                      <w:szCs w:val="20"/>
                      <w14:ligatures w14:val="none"/>
                    </w:rPr>
                  </w:pPr>
                  <w:r w:rsidRPr="003163FF">
                    <w:rPr>
                      <w:color w:val="000000"/>
                      <w:sz w:val="20"/>
                      <w:szCs w:val="20"/>
                      <w14:ligatures w14:val="none"/>
                    </w:rPr>
                    <w:t>Annuity and Life Sales Desk</w:t>
                  </w:r>
                </w:p>
              </w:tc>
              <w:tc>
                <w:tcPr>
                  <w:tcW w:w="2541" w:type="dxa"/>
                  <w:tcBorders>
                    <w:top w:val="nil"/>
                    <w:left w:val="nil"/>
                    <w:bottom w:val="nil"/>
                    <w:right w:val="single" w:sz="8" w:space="0" w:color="auto"/>
                  </w:tcBorders>
                  <w:tcMar>
                    <w:top w:w="0" w:type="dxa"/>
                    <w:left w:w="108" w:type="dxa"/>
                    <w:bottom w:w="0" w:type="dxa"/>
                    <w:right w:w="108" w:type="dxa"/>
                  </w:tcMar>
                  <w:hideMark/>
                </w:tcPr>
                <w:p w14:paraId="12827CF5" w14:textId="77777777" w:rsidR="00364DDF" w:rsidRPr="003163FF" w:rsidRDefault="00364DDF" w:rsidP="005E2C3A">
                  <w:pPr>
                    <w:rPr>
                      <w:sz w:val="20"/>
                      <w:szCs w:val="20"/>
                      <w14:ligatures w14:val="none"/>
                    </w:rPr>
                  </w:pPr>
                  <w:r w:rsidRPr="003163FF">
                    <w:rPr>
                      <w:color w:val="000000"/>
                      <w:sz w:val="20"/>
                      <w:szCs w:val="20"/>
                      <w14:ligatures w14:val="none"/>
                    </w:rPr>
                    <w:t> </w:t>
                  </w:r>
                </w:p>
              </w:tc>
            </w:tr>
            <w:tr w:rsidR="00364DDF" w:rsidRPr="003163FF" w14:paraId="7FD8324D" w14:textId="77777777" w:rsidTr="005E2C3A">
              <w:trPr>
                <w:trHeight w:val="446"/>
              </w:trPr>
              <w:tc>
                <w:tcPr>
                  <w:tcW w:w="2863" w:type="dxa"/>
                  <w:tcBorders>
                    <w:top w:val="nil"/>
                    <w:left w:val="nil"/>
                    <w:bottom w:val="nil"/>
                    <w:right w:val="single" w:sz="8" w:space="0" w:color="auto"/>
                  </w:tcBorders>
                  <w:tcMar>
                    <w:top w:w="0" w:type="dxa"/>
                    <w:left w:w="108" w:type="dxa"/>
                    <w:bottom w:w="0" w:type="dxa"/>
                    <w:right w:w="108" w:type="dxa"/>
                  </w:tcMar>
                  <w:hideMark/>
                </w:tcPr>
                <w:p w14:paraId="36FE79A1" w14:textId="77777777" w:rsidR="00364DDF" w:rsidRPr="003163FF" w:rsidRDefault="00364DDF" w:rsidP="005E2C3A">
                  <w:pPr>
                    <w:rPr>
                      <w:sz w:val="20"/>
                      <w:szCs w:val="20"/>
                      <w14:ligatures w14:val="none"/>
                    </w:rPr>
                  </w:pPr>
                  <w:r w:rsidRPr="003163FF">
                    <w:rPr>
                      <w:sz w:val="20"/>
                      <w:szCs w:val="20"/>
                      <w14:ligatures w14:val="none"/>
                    </w:rPr>
                    <w:t>312-965-4542</w:t>
                  </w:r>
                </w:p>
              </w:tc>
              <w:tc>
                <w:tcPr>
                  <w:tcW w:w="2617" w:type="dxa"/>
                  <w:tcBorders>
                    <w:top w:val="nil"/>
                    <w:left w:val="nil"/>
                    <w:bottom w:val="nil"/>
                    <w:right w:val="single" w:sz="8" w:space="0" w:color="auto"/>
                  </w:tcBorders>
                  <w:tcMar>
                    <w:top w:w="0" w:type="dxa"/>
                    <w:left w:w="108" w:type="dxa"/>
                    <w:bottom w:w="0" w:type="dxa"/>
                    <w:right w:w="108" w:type="dxa"/>
                  </w:tcMar>
                  <w:hideMark/>
                </w:tcPr>
                <w:p w14:paraId="5B8CDB65" w14:textId="77777777" w:rsidR="00364DDF" w:rsidRPr="003163FF" w:rsidRDefault="00364DDF" w:rsidP="005E2C3A">
                  <w:pPr>
                    <w:rPr>
                      <w:sz w:val="20"/>
                      <w:szCs w:val="20"/>
                      <w14:ligatures w14:val="none"/>
                    </w:rPr>
                  </w:pPr>
                  <w:r w:rsidRPr="003163FF">
                    <w:rPr>
                      <w:color w:val="000000"/>
                      <w:sz w:val="20"/>
                      <w:szCs w:val="20"/>
                      <w14:ligatures w14:val="none"/>
                    </w:rPr>
                    <w:t>214-638-9263</w:t>
                  </w:r>
                </w:p>
              </w:tc>
              <w:tc>
                <w:tcPr>
                  <w:tcW w:w="2701" w:type="dxa"/>
                  <w:tcBorders>
                    <w:top w:val="nil"/>
                    <w:left w:val="nil"/>
                    <w:bottom w:val="nil"/>
                    <w:right w:val="single" w:sz="8" w:space="0" w:color="auto"/>
                  </w:tcBorders>
                  <w:tcMar>
                    <w:top w:w="0" w:type="dxa"/>
                    <w:left w:w="108" w:type="dxa"/>
                    <w:bottom w:w="0" w:type="dxa"/>
                    <w:right w:w="108" w:type="dxa"/>
                  </w:tcMar>
                  <w:hideMark/>
                </w:tcPr>
                <w:p w14:paraId="45C99D97" w14:textId="77777777" w:rsidR="00364DDF" w:rsidRPr="003163FF" w:rsidRDefault="00364DDF" w:rsidP="005E2C3A">
                  <w:pPr>
                    <w:rPr>
                      <w:sz w:val="20"/>
                      <w:szCs w:val="20"/>
                      <w14:ligatures w14:val="none"/>
                    </w:rPr>
                  </w:pPr>
                  <w:r w:rsidRPr="003163FF">
                    <w:rPr>
                      <w:color w:val="000000"/>
                      <w:sz w:val="20"/>
                      <w:szCs w:val="20"/>
                      <w14:ligatures w14:val="none"/>
                    </w:rPr>
                    <w:t>214-638-9280</w:t>
                  </w:r>
                </w:p>
              </w:tc>
              <w:tc>
                <w:tcPr>
                  <w:tcW w:w="2541" w:type="dxa"/>
                  <w:tcBorders>
                    <w:top w:val="nil"/>
                    <w:left w:val="nil"/>
                    <w:bottom w:val="nil"/>
                    <w:right w:val="single" w:sz="8" w:space="0" w:color="auto"/>
                  </w:tcBorders>
                  <w:tcMar>
                    <w:top w:w="0" w:type="dxa"/>
                    <w:left w:w="108" w:type="dxa"/>
                    <w:bottom w:w="0" w:type="dxa"/>
                    <w:right w:w="108" w:type="dxa"/>
                  </w:tcMar>
                  <w:hideMark/>
                </w:tcPr>
                <w:p w14:paraId="62AF72E9" w14:textId="77777777" w:rsidR="00364DDF" w:rsidRPr="003163FF" w:rsidRDefault="00364DDF" w:rsidP="005E2C3A">
                  <w:pPr>
                    <w:rPr>
                      <w:sz w:val="20"/>
                      <w:szCs w:val="20"/>
                      <w14:ligatures w14:val="none"/>
                    </w:rPr>
                  </w:pPr>
                  <w:r w:rsidRPr="003163FF">
                    <w:rPr>
                      <w:color w:val="000000"/>
                      <w:sz w:val="20"/>
                      <w:szCs w:val="20"/>
                      <w14:ligatures w14:val="none"/>
                    </w:rPr>
                    <w:t>802-224-1631</w:t>
                  </w:r>
                </w:p>
              </w:tc>
            </w:tr>
            <w:tr w:rsidR="00364DDF" w:rsidRPr="003163FF" w14:paraId="4FE3889B" w14:textId="77777777" w:rsidTr="005E2C3A">
              <w:trPr>
                <w:trHeight w:val="902"/>
              </w:trPr>
              <w:tc>
                <w:tcPr>
                  <w:tcW w:w="2863" w:type="dxa"/>
                  <w:tcBorders>
                    <w:top w:val="nil"/>
                    <w:left w:val="nil"/>
                    <w:bottom w:val="nil"/>
                    <w:right w:val="single" w:sz="8" w:space="0" w:color="auto"/>
                  </w:tcBorders>
                  <w:tcMar>
                    <w:top w:w="0" w:type="dxa"/>
                    <w:left w:w="108" w:type="dxa"/>
                    <w:bottom w:w="0" w:type="dxa"/>
                    <w:right w:w="108" w:type="dxa"/>
                  </w:tcMar>
                  <w:hideMark/>
                </w:tcPr>
                <w:p w14:paraId="240EB620" w14:textId="77777777" w:rsidR="00364DDF" w:rsidRPr="003163FF" w:rsidRDefault="00364DDF" w:rsidP="005E2C3A">
                  <w:pPr>
                    <w:rPr>
                      <w:sz w:val="20"/>
                      <w:szCs w:val="20"/>
                      <w14:ligatures w14:val="none"/>
                    </w:rPr>
                  </w:pPr>
                  <w:hyperlink r:id="rId5" w:history="1">
                    <w:r w:rsidRPr="003163FF">
                      <w:rPr>
                        <w:rStyle w:val="Hyperlink"/>
                        <w:sz w:val="20"/>
                        <w:szCs w:val="20"/>
                        <w14:ligatures w14:val="none"/>
                      </w:rPr>
                      <w:t>cgeiger@nationalLife.com</w:t>
                    </w:r>
                  </w:hyperlink>
                </w:p>
              </w:tc>
              <w:tc>
                <w:tcPr>
                  <w:tcW w:w="2617" w:type="dxa"/>
                  <w:tcBorders>
                    <w:top w:val="nil"/>
                    <w:left w:val="nil"/>
                    <w:bottom w:val="nil"/>
                    <w:right w:val="single" w:sz="8" w:space="0" w:color="auto"/>
                  </w:tcBorders>
                  <w:tcMar>
                    <w:top w:w="0" w:type="dxa"/>
                    <w:left w:w="108" w:type="dxa"/>
                    <w:bottom w:w="0" w:type="dxa"/>
                    <w:right w:w="108" w:type="dxa"/>
                  </w:tcMar>
                  <w:hideMark/>
                </w:tcPr>
                <w:p w14:paraId="636DB0BB" w14:textId="77777777" w:rsidR="00364DDF" w:rsidRPr="003163FF" w:rsidRDefault="00364DDF" w:rsidP="005E2C3A">
                  <w:pPr>
                    <w:rPr>
                      <w:sz w:val="20"/>
                      <w:szCs w:val="20"/>
                      <w14:ligatures w14:val="none"/>
                    </w:rPr>
                  </w:pPr>
                  <w:hyperlink r:id="rId6" w:history="1">
                    <w:r w:rsidRPr="003163FF">
                      <w:rPr>
                        <w:rStyle w:val="Hyperlink"/>
                        <w:sz w:val="20"/>
                        <w:szCs w:val="20"/>
                        <w14:ligatures w14:val="none"/>
                      </w:rPr>
                      <w:t>bblake@nationalLife.com</w:t>
                    </w:r>
                  </w:hyperlink>
                </w:p>
              </w:tc>
              <w:tc>
                <w:tcPr>
                  <w:tcW w:w="2701" w:type="dxa"/>
                  <w:tcBorders>
                    <w:top w:val="nil"/>
                    <w:left w:val="nil"/>
                    <w:bottom w:val="nil"/>
                    <w:right w:val="single" w:sz="8" w:space="0" w:color="auto"/>
                  </w:tcBorders>
                  <w:tcMar>
                    <w:top w:w="0" w:type="dxa"/>
                    <w:left w:w="108" w:type="dxa"/>
                    <w:bottom w:w="0" w:type="dxa"/>
                    <w:right w:w="108" w:type="dxa"/>
                  </w:tcMar>
                  <w:hideMark/>
                </w:tcPr>
                <w:p w14:paraId="0221DE3D" w14:textId="77777777" w:rsidR="00364DDF" w:rsidRPr="003163FF" w:rsidRDefault="00364DDF" w:rsidP="005E2C3A">
                  <w:pPr>
                    <w:rPr>
                      <w:sz w:val="20"/>
                      <w:szCs w:val="20"/>
                      <w14:ligatures w14:val="none"/>
                    </w:rPr>
                  </w:pPr>
                  <w:hyperlink r:id="rId7" w:history="1">
                    <w:r w:rsidRPr="003163FF">
                      <w:rPr>
                        <w:rStyle w:val="Hyperlink"/>
                        <w:sz w:val="20"/>
                        <w:szCs w:val="20"/>
                        <w14:ligatures w14:val="none"/>
                      </w:rPr>
                      <w:t>kcarroll@nationalLife.com</w:t>
                    </w:r>
                  </w:hyperlink>
                  <w:r w:rsidRPr="003163FF">
                    <w:rPr>
                      <w:color w:val="000000"/>
                      <w:sz w:val="20"/>
                      <w:szCs w:val="20"/>
                      <w14:ligatures w14:val="none"/>
                    </w:rPr>
                    <w:t xml:space="preserve"> </w:t>
                  </w:r>
                </w:p>
                <w:p w14:paraId="685777A4" w14:textId="77777777" w:rsidR="00364DDF" w:rsidRPr="003163FF" w:rsidRDefault="00364DDF" w:rsidP="005E2C3A">
                  <w:pPr>
                    <w:rPr>
                      <w:sz w:val="20"/>
                      <w:szCs w:val="20"/>
                      <w14:ligatures w14:val="none"/>
                    </w:rPr>
                  </w:pPr>
                  <w:r w:rsidRPr="003163FF">
                    <w:rPr>
                      <w:color w:val="000000"/>
                      <w:sz w:val="20"/>
                      <w:szCs w:val="20"/>
                      <w14:ligatures w14:val="none"/>
                    </w:rPr>
                    <w:t> </w:t>
                  </w:r>
                </w:p>
              </w:tc>
              <w:tc>
                <w:tcPr>
                  <w:tcW w:w="2541" w:type="dxa"/>
                  <w:tcBorders>
                    <w:top w:val="nil"/>
                    <w:left w:val="nil"/>
                    <w:bottom w:val="nil"/>
                    <w:right w:val="single" w:sz="8" w:space="0" w:color="auto"/>
                  </w:tcBorders>
                  <w:tcMar>
                    <w:top w:w="0" w:type="dxa"/>
                    <w:left w:w="108" w:type="dxa"/>
                    <w:bottom w:w="0" w:type="dxa"/>
                    <w:right w:w="108" w:type="dxa"/>
                  </w:tcMar>
                  <w:hideMark/>
                </w:tcPr>
                <w:p w14:paraId="7E95B23B" w14:textId="77777777" w:rsidR="00364DDF" w:rsidRPr="003163FF" w:rsidRDefault="00364DDF" w:rsidP="005E2C3A">
                  <w:pPr>
                    <w:rPr>
                      <w:sz w:val="20"/>
                      <w:szCs w:val="20"/>
                      <w14:ligatures w14:val="none"/>
                    </w:rPr>
                  </w:pPr>
                  <w:r w:rsidRPr="003163FF">
                    <w:rPr>
                      <w:color w:val="467886"/>
                      <w:sz w:val="20"/>
                      <w:szCs w:val="20"/>
                      <w:u w:val="single"/>
                      <w14:ligatures w14:val="none"/>
                    </w:rPr>
                    <w:t>bp</w:t>
                  </w:r>
                  <w:hyperlink r:id="rId8" w:history="1">
                    <w:r w:rsidRPr="003163FF">
                      <w:rPr>
                        <w:rStyle w:val="Hyperlink"/>
                        <w:sz w:val="20"/>
                        <w:szCs w:val="20"/>
                        <w14:ligatures w14:val="none"/>
                      </w:rPr>
                      <w:t>orter@nationalLife.com</w:t>
                    </w:r>
                  </w:hyperlink>
                  <w:r w:rsidRPr="003163FF">
                    <w:rPr>
                      <w:color w:val="000000"/>
                      <w:sz w:val="20"/>
                      <w:szCs w:val="20"/>
                      <w14:ligatures w14:val="none"/>
                    </w:rPr>
                    <w:t xml:space="preserve"> </w:t>
                  </w:r>
                </w:p>
              </w:tc>
            </w:tr>
          </w:tbl>
          <w:p w14:paraId="66FC6FDB" w14:textId="77777777" w:rsidR="00364DDF" w:rsidRPr="003163FF" w:rsidRDefault="00364DDF" w:rsidP="005E2C3A">
            <w:pPr>
              <w:rPr>
                <w:rFonts w:ascii="Aptos" w:hAnsi="Aptos" w:cs="Aptos"/>
                <w:sz w:val="20"/>
                <w:szCs w:val="20"/>
                <w14:ligatures w14:val="none"/>
              </w:rPr>
            </w:pPr>
            <w:r w:rsidRPr="003163FF">
              <w:rPr>
                <w:color w:val="000000"/>
                <w:sz w:val="20"/>
                <w:szCs w:val="20"/>
                <w14:ligatures w14:val="none"/>
              </w:rPr>
              <w:t>  </w:t>
            </w:r>
          </w:p>
        </w:tc>
        <w:tc>
          <w:tcPr>
            <w:tcW w:w="65" w:type="dxa"/>
            <w:shd w:val="clear" w:color="auto" w:fill="FFFFFF"/>
            <w:tcMar>
              <w:top w:w="15" w:type="dxa"/>
              <w:left w:w="15" w:type="dxa"/>
              <w:bottom w:w="15" w:type="dxa"/>
              <w:right w:w="15" w:type="dxa"/>
            </w:tcMar>
            <w:hideMark/>
          </w:tcPr>
          <w:p w14:paraId="7D5C24AF" w14:textId="77777777" w:rsidR="00364DDF" w:rsidRPr="003163FF" w:rsidRDefault="00364DDF" w:rsidP="005E2C3A">
            <w:pPr>
              <w:rPr>
                <w:sz w:val="20"/>
                <w:szCs w:val="20"/>
                <w14:ligatures w14:val="none"/>
              </w:rPr>
            </w:pPr>
            <w:r w:rsidRPr="003163FF">
              <w:rPr>
                <w:color w:val="000000"/>
                <w:sz w:val="20"/>
                <w:szCs w:val="20"/>
                <w14:ligatures w14:val="none"/>
              </w:rPr>
              <w:t> </w:t>
            </w:r>
          </w:p>
        </w:tc>
      </w:tr>
    </w:tbl>
    <w:p w14:paraId="7FB3A57B" w14:textId="532C8EDA" w:rsidR="000422D3" w:rsidRDefault="00E55C98" w:rsidP="000422D3">
      <w:r w:rsidRPr="003163FF">
        <w:rPr>
          <w:rFonts w:ascii="Calibri" w:hAnsi="Calibri" w:cs="Calibri"/>
          <w:noProof/>
          <w:sz w:val="20"/>
          <w:szCs w:val="20"/>
        </w:rPr>
        <w:drawing>
          <wp:inline distT="0" distB="0" distL="0" distR="0" wp14:anchorId="6F71144A" wp14:editId="60244594">
            <wp:extent cx="2171700" cy="866775"/>
            <wp:effectExtent l="0" t="0" r="0" b="9525"/>
            <wp:docPr id="1332321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inline>
        </w:drawing>
      </w:r>
    </w:p>
    <w:p w14:paraId="7BD58497" w14:textId="77777777" w:rsidR="000B0049" w:rsidRPr="003163FF" w:rsidRDefault="000B0049" w:rsidP="000B0049">
      <w:pPr>
        <w:rPr>
          <w:rFonts w:ascii="Aptos" w:hAnsi="Aptos" w:cs="Calibri"/>
          <w:sz w:val="16"/>
          <w:szCs w:val="16"/>
        </w:rPr>
      </w:pPr>
      <w:r w:rsidRPr="003163FF">
        <w:rPr>
          <w:rFonts w:ascii="Aptos" w:hAnsi="Aptos" w:cs="Arial"/>
          <w:color w:val="5CA545"/>
          <w:sz w:val="16"/>
          <w:szCs w:val="16"/>
        </w:rPr>
        <w:t>Print Responsibly</w:t>
      </w:r>
    </w:p>
    <w:p w14:paraId="494C9522" w14:textId="77777777" w:rsidR="000B0049" w:rsidRPr="003163FF" w:rsidRDefault="000B0049" w:rsidP="000B0049">
      <w:pPr>
        <w:spacing w:before="100" w:beforeAutospacing="1" w:after="100" w:afterAutospacing="1" w:line="240" w:lineRule="auto"/>
        <w:rPr>
          <w:rFonts w:ascii="Aptos" w:hAnsi="Aptos" w:cs="Times New Roman"/>
          <w:b/>
          <w:bCs/>
          <w:color w:val="000000"/>
          <w:kern w:val="0"/>
          <w14:ligatures w14:val="none"/>
        </w:rPr>
      </w:pPr>
      <w:r w:rsidRPr="003163FF">
        <w:rPr>
          <w:rFonts w:ascii="Aptos" w:hAnsi="Aptos" w:cs="Times New Roman"/>
          <w:b/>
          <w:bCs/>
          <w:color w:val="000000"/>
          <w:kern w:val="0"/>
          <w14:ligatures w14:val="none"/>
        </w:rPr>
        <w:lastRenderedPageBreak/>
        <w:t xml:space="preserve">Products Issued by: </w:t>
      </w:r>
    </w:p>
    <w:p w14:paraId="1A0211FF" w14:textId="77777777" w:rsidR="000B0049" w:rsidRPr="003163FF" w:rsidRDefault="000B0049" w:rsidP="000B0049">
      <w:pPr>
        <w:spacing w:before="100" w:beforeAutospacing="1" w:after="100" w:afterAutospacing="1" w:line="240" w:lineRule="auto"/>
        <w:rPr>
          <w:rFonts w:ascii="Aptos" w:hAnsi="Aptos" w:cs="Times New Roman"/>
          <w:b/>
          <w:bCs/>
          <w:color w:val="000000"/>
          <w:kern w:val="0"/>
          <w14:ligatures w14:val="none"/>
        </w:rPr>
      </w:pPr>
      <w:r w:rsidRPr="003163FF">
        <w:rPr>
          <w:rFonts w:ascii="Aptos" w:hAnsi="Aptos" w:cs="Times New Roman"/>
          <w:b/>
          <w:bCs/>
          <w:color w:val="000000"/>
          <w:kern w:val="0"/>
          <w14:ligatures w14:val="none"/>
        </w:rPr>
        <w:t>Life Insurance Company of the Southwest®</w:t>
      </w:r>
    </w:p>
    <w:p w14:paraId="5C79128A" w14:textId="77777777" w:rsidR="000B0049" w:rsidRPr="003163FF" w:rsidRDefault="000B0049" w:rsidP="000B0049">
      <w:pPr>
        <w:rPr>
          <w:rFonts w:ascii="Aptos" w:hAnsi="Aptos" w:cs="Arial"/>
          <w:color w:val="000000"/>
          <w:sz w:val="16"/>
          <w:szCs w:val="16"/>
        </w:rPr>
      </w:pPr>
      <w:r w:rsidRPr="003163FF">
        <w:rPr>
          <w:rFonts w:ascii="Aptos" w:hAnsi="Aptos" w:cs="Arial"/>
          <w:color w:val="000000"/>
          <w:sz w:val="16"/>
          <w:szCs w:val="16"/>
        </w:rPr>
        <w:t xml:space="preserve">National Life Group® is </w:t>
      </w:r>
      <w:proofErr w:type="gramStart"/>
      <w:r w:rsidRPr="003163FF">
        <w:rPr>
          <w:rFonts w:ascii="Aptos" w:hAnsi="Aptos" w:cs="Arial"/>
          <w:color w:val="000000"/>
          <w:sz w:val="16"/>
          <w:szCs w:val="16"/>
        </w:rPr>
        <w:t>a trade</w:t>
      </w:r>
      <w:proofErr w:type="gramEnd"/>
      <w:r w:rsidRPr="003163FF">
        <w:rPr>
          <w:rFonts w:ascii="Aptos" w:hAnsi="Aptos" w:cs="Arial"/>
          <w:color w:val="000000"/>
          <w:sz w:val="16"/>
          <w:szCs w:val="16"/>
        </w:rPr>
        <w:t xml:space="preserve"> name of Life Insurance Company of the Southwest, Addison, TX and their affiliates, which offer a variety of financial service products.</w:t>
      </w:r>
    </w:p>
    <w:p w14:paraId="2BC92D19" w14:textId="77777777" w:rsidR="000B0049" w:rsidRPr="003163FF" w:rsidRDefault="000B0049" w:rsidP="000B0049">
      <w:r w:rsidRPr="003163FF">
        <w:rPr>
          <w:rFonts w:ascii="Aptos" w:hAnsi="Aptos" w:cs="Times New Roman"/>
          <w:color w:val="000000"/>
          <w:kern w:val="0"/>
          <w:sz w:val="16"/>
          <w:szCs w:val="16"/>
          <w14:ligatures w14:val="none"/>
        </w:rPr>
        <w:t>This is an advertisement. To be removed from future mailings, please enter your email address here:</w:t>
      </w:r>
      <w:r w:rsidRPr="003163FF">
        <w:rPr>
          <w:rFonts w:ascii="Arial" w:hAnsi="Arial" w:cs="Arial"/>
          <w:color w:val="000000"/>
          <w:kern w:val="0"/>
          <w:sz w:val="16"/>
          <w:szCs w:val="16"/>
          <w14:ligatures w14:val="none"/>
        </w:rPr>
        <w:t> </w:t>
      </w:r>
      <w:hyperlink r:id="rId11" w:history="1">
        <w:r w:rsidRPr="003163FF">
          <w:rPr>
            <w:rFonts w:ascii="Aptos" w:hAnsi="Aptos" w:cs="Times New Roman"/>
            <w:color w:val="467886" w:themeColor="hyperlink"/>
            <w:kern w:val="0"/>
            <w:sz w:val="16"/>
            <w:szCs w:val="16"/>
            <w:u w:val="single"/>
            <w14:ligatures w14:val="none"/>
          </w:rPr>
          <w:t>www.nationallife.com/unsub</w:t>
        </w:r>
      </w:hyperlink>
    </w:p>
    <w:p w14:paraId="13048F21" w14:textId="243EA5BE" w:rsidR="00B43F45" w:rsidRPr="00B43F45" w:rsidRDefault="00B43F45" w:rsidP="00B43F45">
      <w:pPr>
        <w:pStyle w:val="PlainText"/>
        <w:rPr>
          <w:sz w:val="16"/>
          <w:szCs w:val="16"/>
        </w:rPr>
      </w:pPr>
      <w:r>
        <w:rPr>
          <w:sz w:val="16"/>
          <w:szCs w:val="16"/>
        </w:rPr>
        <w:t>1.</w:t>
      </w:r>
      <w:r w:rsidRPr="000422D3">
        <w:rPr>
          <w:sz w:val="16"/>
          <w:szCs w:val="16"/>
        </w:rPr>
        <w:t xml:space="preserve">Source: CNBC-Personal Finance  3/12/25 Jessica Dickler: </w:t>
      </w:r>
      <w:hyperlink r:id="rId12" w:history="1">
        <w:r w:rsidRPr="000422D3">
          <w:rPr>
            <w:rStyle w:val="Hyperlink"/>
            <w:rFonts w:eastAsiaTheme="majorEastAsia"/>
            <w:sz w:val="16"/>
            <w:szCs w:val="16"/>
          </w:rPr>
          <w:t>https://urldefense.com/v3/__https://www.cnbc.com/2025/03/12/most-of-the-124-trillion-great-wealth-transfer-will-go-to-women.html__;!!BeEutw6RKg!Bhq1qS3Zeb29ezzV8pAHpQ0ly5eMhhpmXhYHlGBFCrQhV57-4dnrjRQ2zo-tSssIOaWP4Y41gXMaFcvmUDjd24wOuv4$</w:t>
        </w:r>
      </w:hyperlink>
    </w:p>
    <w:p w14:paraId="5FD3E050" w14:textId="65940845" w:rsidR="000B0049" w:rsidRPr="003163FF" w:rsidRDefault="00B43F45" w:rsidP="000B0049">
      <w:pPr>
        <w:spacing w:before="100" w:beforeAutospacing="1" w:after="100" w:afterAutospacing="1" w:line="240" w:lineRule="auto"/>
        <w:rPr>
          <w:rFonts w:ascii="Aptos" w:hAnsi="Aptos" w:cs="Times New Roman"/>
          <w:color w:val="000000"/>
          <w:kern w:val="0"/>
          <w:sz w:val="16"/>
          <w:szCs w:val="16"/>
          <w14:ligatures w14:val="none"/>
        </w:rPr>
      </w:pPr>
      <w:r>
        <w:rPr>
          <w:rFonts w:ascii="Aptos" w:hAnsi="Aptos" w:cs="Times New Roman"/>
          <w:color w:val="000000"/>
          <w:kern w:val="0"/>
          <w:sz w:val="16"/>
          <w:szCs w:val="16"/>
          <w14:ligatures w14:val="none"/>
        </w:rPr>
        <w:t>2</w:t>
      </w:r>
      <w:r w:rsidR="000B0049" w:rsidRPr="003163FF">
        <w:rPr>
          <w:rFonts w:ascii="Aptos" w:hAnsi="Aptos" w:cs="Times New Roman"/>
          <w:color w:val="000000"/>
          <w:kern w:val="0"/>
          <w:sz w:val="16"/>
          <w:szCs w:val="16"/>
          <w14:ligatures w14:val="none"/>
        </w:rPr>
        <w:t xml:space="preserve">. 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w:t>
      </w:r>
      <w:proofErr w:type="gramStart"/>
      <w:r w:rsidR="000B0049" w:rsidRPr="003163FF">
        <w:rPr>
          <w:rFonts w:ascii="Aptos" w:hAnsi="Aptos" w:cs="Times New Roman"/>
          <w:color w:val="000000"/>
          <w:kern w:val="0"/>
          <w:sz w:val="16"/>
          <w:szCs w:val="16"/>
          <w14:ligatures w14:val="none"/>
        </w:rPr>
        <w:t>index, and</w:t>
      </w:r>
      <w:proofErr w:type="gramEnd"/>
      <w:r w:rsidR="000B0049" w:rsidRPr="003163FF">
        <w:rPr>
          <w:rFonts w:ascii="Aptos" w:hAnsi="Aptos" w:cs="Times New Roman"/>
          <w:color w:val="000000"/>
          <w:kern w:val="0"/>
          <w:sz w:val="16"/>
          <w:szCs w:val="16"/>
          <w14:ligatures w14:val="none"/>
        </w:rPr>
        <w:t xml:space="preserve">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w:t>
      </w:r>
      <w:proofErr w:type="gramStart"/>
      <w:r w:rsidR="000B0049" w:rsidRPr="003163FF">
        <w:rPr>
          <w:rFonts w:ascii="Aptos" w:hAnsi="Aptos" w:cs="Times New Roman"/>
          <w:color w:val="000000"/>
          <w:kern w:val="0"/>
          <w:sz w:val="16"/>
          <w:szCs w:val="16"/>
          <w14:ligatures w14:val="none"/>
        </w:rPr>
        <w:t>the issuing</w:t>
      </w:r>
      <w:proofErr w:type="gramEnd"/>
      <w:r w:rsidR="000B0049" w:rsidRPr="003163FF">
        <w:rPr>
          <w:rFonts w:ascii="Aptos" w:hAnsi="Aptos" w:cs="Times New Roman"/>
          <w:color w:val="000000"/>
          <w:kern w:val="0"/>
          <w:sz w:val="16"/>
          <w:szCs w:val="16"/>
          <w14:ligatures w14:val="none"/>
        </w:rPr>
        <w:t xml:space="preserve"> insurance company. All withdrawals made from annuities with pre-tax contributions are taxed as ordinary income. All withdrawals from an annuity purchased with non-qualified monies are taxable as ordinary income only to the extent there is a gain in the policy.</w:t>
      </w:r>
    </w:p>
    <w:p w14:paraId="5E513ACC" w14:textId="5C7337EA" w:rsidR="000B0049" w:rsidRPr="003163FF" w:rsidRDefault="00B43F45" w:rsidP="000B0049">
      <w:pPr>
        <w:rPr>
          <w:rFonts w:ascii="Aptos" w:hAnsi="Aptos" w:cs="Times New Roman"/>
          <w:color w:val="000000"/>
          <w:kern w:val="0"/>
          <w:sz w:val="16"/>
          <w:szCs w:val="16"/>
          <w14:ligatures w14:val="none"/>
        </w:rPr>
      </w:pPr>
      <w:r>
        <w:rPr>
          <w:rFonts w:ascii="Aptos" w:hAnsi="Aptos" w:cs="Times New Roman"/>
          <w:color w:val="000000"/>
          <w:kern w:val="0"/>
          <w:sz w:val="16"/>
          <w:szCs w:val="16"/>
          <w14:ligatures w14:val="none"/>
        </w:rPr>
        <w:t>3</w:t>
      </w:r>
      <w:r w:rsidR="000B0049" w:rsidRPr="003163FF">
        <w:rPr>
          <w:rFonts w:ascii="Aptos" w:hAnsi="Aptos" w:cs="Times New Roman"/>
          <w:color w:val="000000"/>
          <w:kern w:val="0"/>
          <w:sz w:val="16"/>
          <w:szCs w:val="16"/>
          <w14:ligatures w14:val="none"/>
        </w:rPr>
        <w:t xml:space="preserve">. Receive an upfront 10% premium bonus for 10-year policies, or a 7% premium bonus for 7-year policies.  </w:t>
      </w:r>
    </w:p>
    <w:p w14:paraId="6D4986DD" w14:textId="46A4D00A" w:rsidR="000B0049" w:rsidRDefault="00B43F45" w:rsidP="000B0049">
      <w:r>
        <w:rPr>
          <w:rFonts w:ascii="Aptos" w:hAnsi="Aptos" w:cs="Times New Roman"/>
          <w:color w:val="000000"/>
          <w:kern w:val="0"/>
          <w:sz w:val="16"/>
          <w:szCs w:val="16"/>
          <w14:ligatures w14:val="none"/>
        </w:rPr>
        <w:t>4</w:t>
      </w:r>
      <w:r w:rsidR="000B0049" w:rsidRPr="003163FF">
        <w:rPr>
          <w:rFonts w:ascii="Aptos" w:hAnsi="Aptos" w:cs="Times New Roman"/>
          <w:color w:val="000000"/>
          <w:kern w:val="0"/>
          <w:sz w:val="16"/>
          <w:szCs w:val="16"/>
          <w14:ligatures w14:val="none"/>
        </w:rPr>
        <w:t>. A bonus recapture charge may also be applied, based on how long the owner has had the annuity and how much is withdrawn.</w:t>
      </w:r>
      <w:r w:rsidR="000B0049">
        <w:rPr>
          <w:rFonts w:ascii="Aptos" w:hAnsi="Aptos" w:cs="Times New Roman"/>
          <w:color w:val="000000"/>
          <w:kern w:val="0"/>
          <w:sz w:val="16"/>
          <w:szCs w:val="16"/>
          <w14:ligatures w14:val="none"/>
        </w:rPr>
        <w:t xml:space="preserve">  </w:t>
      </w:r>
    </w:p>
    <w:p w14:paraId="38C7B58F" w14:textId="77777777" w:rsidR="000B0049" w:rsidRPr="009B153F" w:rsidRDefault="000B0049" w:rsidP="000B0049">
      <w:pPr>
        <w:rPr>
          <w:rFonts w:ascii="Calibri" w:hAnsi="Calibri" w:cs="Calibri"/>
          <w:sz w:val="16"/>
          <w:szCs w:val="16"/>
        </w:rPr>
      </w:pPr>
      <w:r w:rsidRPr="009B153F">
        <w:rPr>
          <w:rFonts w:ascii="Calibri" w:hAnsi="Calibri" w:cs="Calibri"/>
          <w:sz w:val="16"/>
          <w:szCs w:val="16"/>
        </w:rPr>
        <w:t>FOR RECRUITING/FINANCIAL PROFESSIONAL USE ONLY - NOT FOR USE WITH THE PUBLIC</w:t>
      </w:r>
    </w:p>
    <w:p w14:paraId="1E6270FD" w14:textId="7309A60D" w:rsidR="00B50017" w:rsidRPr="00A37A21" w:rsidRDefault="00F917D2" w:rsidP="00B50017">
      <w:pPr>
        <w:spacing w:before="100" w:beforeAutospacing="1" w:after="100" w:afterAutospacing="1" w:line="240" w:lineRule="auto"/>
        <w:rPr>
          <w:rFonts w:ascii="Aptos" w:hAnsi="Aptos"/>
          <w:sz w:val="16"/>
          <w:szCs w:val="16"/>
        </w:rPr>
      </w:pPr>
      <w:r w:rsidRPr="00F917D2">
        <w:rPr>
          <w:rFonts w:ascii="Aptos" w:hAnsi="Aptos"/>
          <w:sz w:val="16"/>
          <w:szCs w:val="16"/>
        </w:rPr>
        <w:t>TC8362207(0925)1</w:t>
      </w:r>
    </w:p>
    <w:p w14:paraId="1E1A8E65" w14:textId="77777777" w:rsidR="000B0049" w:rsidRDefault="000B0049" w:rsidP="000422D3"/>
    <w:p w14:paraId="668482AD" w14:textId="77777777" w:rsidR="000422D3" w:rsidRDefault="000422D3" w:rsidP="000422D3">
      <w:pPr>
        <w:pStyle w:val="PlainText"/>
        <w:rPr>
          <w:sz w:val="16"/>
          <w:szCs w:val="16"/>
        </w:rPr>
      </w:pPr>
    </w:p>
    <w:p w14:paraId="0D038AD1" w14:textId="77777777" w:rsidR="000422D3" w:rsidRDefault="000422D3" w:rsidP="000422D3">
      <w:pPr>
        <w:pStyle w:val="PlainText"/>
        <w:rPr>
          <w:sz w:val="16"/>
          <w:szCs w:val="16"/>
        </w:rPr>
      </w:pPr>
    </w:p>
    <w:p w14:paraId="4C22BBDE" w14:textId="77777777" w:rsidR="000422D3" w:rsidRDefault="000422D3" w:rsidP="000422D3">
      <w:pPr>
        <w:pStyle w:val="PlainText"/>
        <w:rPr>
          <w:sz w:val="16"/>
          <w:szCs w:val="16"/>
        </w:rPr>
      </w:pPr>
    </w:p>
    <w:p w14:paraId="44323FE0" w14:textId="77777777" w:rsidR="000422D3" w:rsidRDefault="000422D3" w:rsidP="000422D3">
      <w:pPr>
        <w:pStyle w:val="PlainText"/>
        <w:rPr>
          <w:sz w:val="16"/>
          <w:szCs w:val="16"/>
        </w:rPr>
      </w:pPr>
    </w:p>
    <w:p w14:paraId="02D8F085" w14:textId="77777777" w:rsidR="000422D3" w:rsidRDefault="000422D3" w:rsidP="000422D3">
      <w:pPr>
        <w:pStyle w:val="PlainText"/>
        <w:rPr>
          <w:sz w:val="16"/>
          <w:szCs w:val="16"/>
        </w:rPr>
      </w:pPr>
    </w:p>
    <w:p w14:paraId="438169A5" w14:textId="77777777" w:rsidR="000422D3" w:rsidRDefault="000422D3" w:rsidP="000422D3">
      <w:pPr>
        <w:pStyle w:val="PlainText"/>
        <w:rPr>
          <w:sz w:val="16"/>
          <w:szCs w:val="16"/>
        </w:rPr>
      </w:pPr>
    </w:p>
    <w:p w14:paraId="6D704613" w14:textId="77777777" w:rsidR="000422D3" w:rsidRDefault="000422D3" w:rsidP="000422D3">
      <w:pPr>
        <w:pStyle w:val="PlainText"/>
        <w:rPr>
          <w:sz w:val="16"/>
          <w:szCs w:val="16"/>
        </w:rPr>
      </w:pPr>
    </w:p>
    <w:p w14:paraId="557601A0" w14:textId="77777777" w:rsidR="000422D3" w:rsidRDefault="000422D3" w:rsidP="000422D3">
      <w:pPr>
        <w:pStyle w:val="PlainText"/>
        <w:rPr>
          <w:sz w:val="16"/>
          <w:szCs w:val="16"/>
        </w:rPr>
      </w:pPr>
    </w:p>
    <w:p w14:paraId="6C6E8535" w14:textId="073D4B14" w:rsidR="000422D3" w:rsidRPr="000422D3" w:rsidRDefault="000422D3" w:rsidP="000422D3">
      <w:pPr>
        <w:pStyle w:val="PlainText"/>
        <w:rPr>
          <w:sz w:val="16"/>
          <w:szCs w:val="16"/>
        </w:rPr>
      </w:pPr>
      <w:r w:rsidRPr="000422D3">
        <w:rPr>
          <w:sz w:val="16"/>
          <w:szCs w:val="16"/>
        </w:rPr>
        <w:t xml:space="preserve">Source: CNBC-Personal Finance  3/12/25 Jessica Dickler: </w:t>
      </w:r>
      <w:hyperlink r:id="rId13" w:history="1">
        <w:r w:rsidRPr="000422D3">
          <w:rPr>
            <w:rStyle w:val="Hyperlink"/>
            <w:rFonts w:eastAsiaTheme="majorEastAsia"/>
            <w:sz w:val="16"/>
            <w:szCs w:val="16"/>
          </w:rPr>
          <w:t>https://urldefense.com/v3/__https://www.cnbc.com/2025/03/12/most-of-the-124-trillion-great-wealth-transfer-will-go-to-women.html__;!!BeEutw6RKg!Bhq1qS3Zeb29ezzV8pAHpQ0ly5eMhhpmXhYHlGBFCrQhV57-4dnrjRQ2zo-tSssIOaWP4Y41gXMaFcvmUDjd24wOuv4$</w:t>
        </w:r>
      </w:hyperlink>
    </w:p>
    <w:p w14:paraId="20FC0B81" w14:textId="66F92EE6" w:rsidR="000422D3" w:rsidRDefault="000422D3" w:rsidP="000422D3"/>
    <w:sectPr w:rsidR="00042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C12DB"/>
    <w:multiLevelType w:val="hybridMultilevel"/>
    <w:tmpl w:val="FED2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80BF0"/>
    <w:multiLevelType w:val="hybridMultilevel"/>
    <w:tmpl w:val="2B1E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078945">
    <w:abstractNumId w:val="1"/>
  </w:num>
  <w:num w:numId="2" w16cid:durableId="2860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D3"/>
    <w:rsid w:val="000422D3"/>
    <w:rsid w:val="000B0049"/>
    <w:rsid w:val="00175598"/>
    <w:rsid w:val="00364DDF"/>
    <w:rsid w:val="00472522"/>
    <w:rsid w:val="004B5F7A"/>
    <w:rsid w:val="004C7456"/>
    <w:rsid w:val="005522EA"/>
    <w:rsid w:val="00611826"/>
    <w:rsid w:val="006961C8"/>
    <w:rsid w:val="007126C6"/>
    <w:rsid w:val="0075758E"/>
    <w:rsid w:val="007668E4"/>
    <w:rsid w:val="00AA6C65"/>
    <w:rsid w:val="00B43F45"/>
    <w:rsid w:val="00B50017"/>
    <w:rsid w:val="00CC51EF"/>
    <w:rsid w:val="00CF766D"/>
    <w:rsid w:val="00DA6CA6"/>
    <w:rsid w:val="00E30905"/>
    <w:rsid w:val="00E55C98"/>
    <w:rsid w:val="00F9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2A45"/>
  <w15:chartTrackingRefBased/>
  <w15:docId w15:val="{4E8043FE-82C7-48C6-BB13-B7676541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2D3"/>
    <w:rPr>
      <w:rFonts w:eastAsiaTheme="majorEastAsia" w:cstheme="majorBidi"/>
      <w:color w:val="272727" w:themeColor="text1" w:themeTint="D8"/>
    </w:rPr>
  </w:style>
  <w:style w:type="paragraph" w:styleId="Title">
    <w:name w:val="Title"/>
    <w:basedOn w:val="Normal"/>
    <w:next w:val="Normal"/>
    <w:link w:val="TitleChar"/>
    <w:uiPriority w:val="10"/>
    <w:qFormat/>
    <w:rsid w:val="00042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2D3"/>
    <w:pPr>
      <w:spacing w:before="160"/>
      <w:jc w:val="center"/>
    </w:pPr>
    <w:rPr>
      <w:i/>
      <w:iCs/>
      <w:color w:val="404040" w:themeColor="text1" w:themeTint="BF"/>
    </w:rPr>
  </w:style>
  <w:style w:type="character" w:customStyle="1" w:styleId="QuoteChar">
    <w:name w:val="Quote Char"/>
    <w:basedOn w:val="DefaultParagraphFont"/>
    <w:link w:val="Quote"/>
    <w:uiPriority w:val="29"/>
    <w:rsid w:val="000422D3"/>
    <w:rPr>
      <w:i/>
      <w:iCs/>
      <w:color w:val="404040" w:themeColor="text1" w:themeTint="BF"/>
    </w:rPr>
  </w:style>
  <w:style w:type="paragraph" w:styleId="ListParagraph">
    <w:name w:val="List Paragraph"/>
    <w:basedOn w:val="Normal"/>
    <w:uiPriority w:val="34"/>
    <w:qFormat/>
    <w:rsid w:val="000422D3"/>
    <w:pPr>
      <w:ind w:left="720"/>
      <w:contextualSpacing/>
    </w:pPr>
  </w:style>
  <w:style w:type="character" w:styleId="IntenseEmphasis">
    <w:name w:val="Intense Emphasis"/>
    <w:basedOn w:val="DefaultParagraphFont"/>
    <w:uiPriority w:val="21"/>
    <w:qFormat/>
    <w:rsid w:val="000422D3"/>
    <w:rPr>
      <w:i/>
      <w:iCs/>
      <w:color w:val="0F4761" w:themeColor="accent1" w:themeShade="BF"/>
    </w:rPr>
  </w:style>
  <w:style w:type="paragraph" w:styleId="IntenseQuote">
    <w:name w:val="Intense Quote"/>
    <w:basedOn w:val="Normal"/>
    <w:next w:val="Normal"/>
    <w:link w:val="IntenseQuoteChar"/>
    <w:uiPriority w:val="30"/>
    <w:qFormat/>
    <w:rsid w:val="00042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2D3"/>
    <w:rPr>
      <w:i/>
      <w:iCs/>
      <w:color w:val="0F4761" w:themeColor="accent1" w:themeShade="BF"/>
    </w:rPr>
  </w:style>
  <w:style w:type="character" w:styleId="IntenseReference">
    <w:name w:val="Intense Reference"/>
    <w:basedOn w:val="DefaultParagraphFont"/>
    <w:uiPriority w:val="32"/>
    <w:qFormat/>
    <w:rsid w:val="000422D3"/>
    <w:rPr>
      <w:b/>
      <w:bCs/>
      <w:smallCaps/>
      <w:color w:val="0F4761" w:themeColor="accent1" w:themeShade="BF"/>
      <w:spacing w:val="5"/>
    </w:rPr>
  </w:style>
  <w:style w:type="character" w:styleId="Hyperlink">
    <w:name w:val="Hyperlink"/>
    <w:basedOn w:val="DefaultParagraphFont"/>
    <w:uiPriority w:val="99"/>
    <w:unhideWhenUsed/>
    <w:rsid w:val="000422D3"/>
    <w:rPr>
      <w:color w:val="467886" w:themeColor="hyperlink"/>
      <w:u w:val="single"/>
    </w:rPr>
  </w:style>
  <w:style w:type="paragraph" w:styleId="PlainText">
    <w:name w:val="Plain Text"/>
    <w:basedOn w:val="Normal"/>
    <w:link w:val="PlainTextChar"/>
    <w:uiPriority w:val="99"/>
    <w:unhideWhenUsed/>
    <w:rsid w:val="000422D3"/>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0422D3"/>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58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er@nationalLife.com" TargetMode="External"/><Relationship Id="rId13" Type="http://schemas.openxmlformats.org/officeDocument/2006/relationships/hyperlink" Target="https://urldefense.com/v3/__https:/www.cnbc.com/2025/03/12/most-of-the-124-trillion-great-wealth-transfer-will-go-to-women.html__;!!BeEutw6RKg!Bhq1qS3Zeb29ezzV8pAHpQ0ly5eMhhpmXhYHlGBFCrQhV57-4dnrjRQ2zo-tSssIOaWP4Y41gXMaFcvmUDjd24wOuv4$" TargetMode="External"/><Relationship Id="rId3" Type="http://schemas.openxmlformats.org/officeDocument/2006/relationships/settings" Target="settings.xml"/><Relationship Id="rId7" Type="http://schemas.openxmlformats.org/officeDocument/2006/relationships/hyperlink" Target="mailto:kcarroll@nationalLife.com" TargetMode="External"/><Relationship Id="rId12" Type="http://schemas.openxmlformats.org/officeDocument/2006/relationships/hyperlink" Target="https://urldefense.com/v3/__https:/www.cnbc.com/2025/03/12/most-of-the-124-trillion-great-wealth-transfer-will-go-to-women.html__;!!BeEutw6RKg!Bhq1qS3Zeb29ezzV8pAHpQ0ly5eMhhpmXhYHlGBFCrQhV57-4dnrjRQ2zo-tSssIOaWP4Y41gXMaFcvmUDjd24wOuv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lake@nationalLife.com" TargetMode="External"/><Relationship Id="rId11" Type="http://schemas.openxmlformats.org/officeDocument/2006/relationships/hyperlink" Target="http://www.nationallife.com/unsub" TargetMode="External"/><Relationship Id="rId5" Type="http://schemas.openxmlformats.org/officeDocument/2006/relationships/hyperlink" Target="mailto:cgeiger@nationalLife.com" TargetMode="External"/><Relationship Id="rId15" Type="http://schemas.openxmlformats.org/officeDocument/2006/relationships/theme" Target="theme/theme1.xml"/><Relationship Id="rId10" Type="http://schemas.openxmlformats.org/officeDocument/2006/relationships/image" Target="cid:image001.jpg@01DC102D.833AE50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2025-09-16T19:44:00Z</dcterms:created>
  <dcterms:modified xsi:type="dcterms:W3CDTF">2025-09-16T19:44:00Z</dcterms:modified>
</cp:coreProperties>
</file>