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F9B73" w14:textId="3FCF0152" w:rsidR="00E30905" w:rsidRDefault="00F12199">
      <w:r>
        <w:t>Headline: You might need $1.26M to Retire!</w:t>
      </w:r>
    </w:p>
    <w:p w14:paraId="08C114B2" w14:textId="77777777" w:rsidR="00F12199" w:rsidRDefault="00F12199"/>
    <w:p w14:paraId="1E6FA86E" w14:textId="61A6CE9D" w:rsidR="00F12199" w:rsidRDefault="00F12199">
      <w:r>
        <w:t>According to a recent Northwest Mutual Planning and Progress Study, the average American will need $1.26M to retire comfortably</w:t>
      </w:r>
      <w:r w:rsidR="00CE2E8A">
        <w:t xml:space="preserve"> </w:t>
      </w:r>
      <w:r w:rsidR="00CE2E8A" w:rsidRPr="00CE2E8A">
        <w:rPr>
          <w:sz w:val="16"/>
          <w:szCs w:val="16"/>
        </w:rPr>
        <w:t>1</w:t>
      </w:r>
      <w:r>
        <w:t>. Retirees can potentially live 20-30 years in retirement, they need their income to last as long as they do.</w:t>
      </w:r>
    </w:p>
    <w:p w14:paraId="798C5104" w14:textId="566156D9" w:rsidR="00F12199" w:rsidRDefault="00F12199">
      <w:r>
        <w:t xml:space="preserve">If I use a 4% withdrawal rate on a $1.26M Portfolio that will equate to $50,400 a year can there be another </w:t>
      </w:r>
      <w:r w:rsidR="00CE2E8A">
        <w:t>option to provide more income?</w:t>
      </w:r>
    </w:p>
    <w:p w14:paraId="15D642DC" w14:textId="77777777" w:rsidR="00CE2E8A" w:rsidRPr="00CE2E8A" w:rsidRDefault="00CE2E8A" w:rsidP="00CE2E8A">
      <w:pPr>
        <w:pStyle w:val="NormalWeb"/>
        <w:rPr>
          <w:b/>
          <w:bCs/>
          <w:color w:val="000000"/>
          <w:sz w:val="27"/>
          <w:szCs w:val="27"/>
        </w:rPr>
      </w:pPr>
      <w:r w:rsidRPr="00CE2E8A">
        <w:rPr>
          <w:b/>
          <w:bCs/>
          <w:color w:val="000000"/>
          <w:sz w:val="27"/>
          <w:szCs w:val="27"/>
        </w:rPr>
        <w:t>Fill the income gap with Life Insurance Company of the Southwest’s Income Driver 10 Fixed Indexed Annuity (FIA) with Standard Guaranteed Lifetime Income Rider (GLIR) which can deliver:</w:t>
      </w:r>
      <w:r w:rsidRPr="00CE2E8A">
        <w:rPr>
          <w:b/>
          <w:bCs/>
          <w:color w:val="000000"/>
          <w:sz w:val="16"/>
          <w:szCs w:val="16"/>
        </w:rPr>
        <w:t>2</w:t>
      </w:r>
    </w:p>
    <w:p w14:paraId="57CFAD30" w14:textId="483B6556" w:rsidR="00CE2E8A" w:rsidRDefault="00CE2E8A" w:rsidP="00CE2E8A">
      <w:pPr>
        <w:pStyle w:val="NormalWeb"/>
        <w:rPr>
          <w:b/>
          <w:bCs/>
          <w:color w:val="000000"/>
          <w:sz w:val="27"/>
          <w:szCs w:val="27"/>
          <w:highlight w:val="yellow"/>
        </w:rPr>
      </w:pPr>
      <w:r>
        <w:rPr>
          <w:b/>
          <w:bCs/>
          <w:color w:val="000000"/>
          <w:sz w:val="27"/>
          <w:szCs w:val="27"/>
          <w:highlight w:val="yellow"/>
        </w:rPr>
        <w:t>· 25% Immediate Income Bonus</w:t>
      </w:r>
      <w:r>
        <w:rPr>
          <w:b/>
          <w:bCs/>
          <w:color w:val="000000"/>
          <w:sz w:val="16"/>
          <w:szCs w:val="16"/>
          <w:highlight w:val="yellow"/>
        </w:rPr>
        <w:t>3</w:t>
      </w:r>
    </w:p>
    <w:p w14:paraId="5533FE47" w14:textId="77777777" w:rsidR="00CE2E8A" w:rsidRDefault="00CE2E8A" w:rsidP="00CE2E8A">
      <w:pPr>
        <w:pStyle w:val="NormalWeb"/>
        <w:rPr>
          <w:b/>
          <w:bCs/>
          <w:color w:val="000000"/>
          <w:sz w:val="27"/>
          <w:szCs w:val="27"/>
          <w:highlight w:val="yellow"/>
        </w:rPr>
      </w:pPr>
      <w:r>
        <w:rPr>
          <w:b/>
          <w:bCs/>
          <w:color w:val="000000"/>
          <w:sz w:val="27"/>
          <w:szCs w:val="27"/>
          <w:highlight w:val="yellow"/>
        </w:rPr>
        <w:t>· 10% Simple Roll-up for 10 years</w:t>
      </w:r>
    </w:p>
    <w:p w14:paraId="46AEBC97" w14:textId="77777777" w:rsidR="00CE2E8A" w:rsidRDefault="00CE2E8A" w:rsidP="00CE2E8A">
      <w:pPr>
        <w:pStyle w:val="NormalWeb"/>
        <w:rPr>
          <w:b/>
          <w:bCs/>
          <w:color w:val="000000"/>
          <w:sz w:val="27"/>
          <w:szCs w:val="27"/>
          <w:highlight w:val="yellow"/>
        </w:rPr>
      </w:pPr>
      <w:r>
        <w:rPr>
          <w:b/>
          <w:bCs/>
          <w:color w:val="000000"/>
          <w:sz w:val="27"/>
          <w:szCs w:val="27"/>
          <w:highlight w:val="yellow"/>
        </w:rPr>
        <w:t>· Level and Increasing Income options</w:t>
      </w:r>
    </w:p>
    <w:p w14:paraId="3885BBAE" w14:textId="300CD46A" w:rsidR="00CE2E8A" w:rsidRDefault="00CE2E8A" w:rsidP="00CE2E8A">
      <w:pPr>
        <w:pStyle w:val="NormalWeb"/>
        <w:rPr>
          <w:b/>
          <w:bCs/>
          <w:color w:val="000000"/>
          <w:sz w:val="16"/>
          <w:szCs w:val="16"/>
        </w:rPr>
      </w:pPr>
      <w:r>
        <w:rPr>
          <w:b/>
          <w:bCs/>
          <w:color w:val="000000"/>
          <w:sz w:val="27"/>
          <w:szCs w:val="27"/>
          <w:highlight w:val="yellow"/>
        </w:rPr>
        <w:t>· Activities of Daily Living Income Doubler available</w:t>
      </w:r>
      <w:r>
        <w:rPr>
          <w:b/>
          <w:bCs/>
          <w:color w:val="000000"/>
          <w:sz w:val="16"/>
          <w:szCs w:val="16"/>
        </w:rPr>
        <w:t>4</w:t>
      </w:r>
    </w:p>
    <w:p w14:paraId="114C4E95" w14:textId="77777777" w:rsidR="00CE2E8A" w:rsidRDefault="00CE2E8A" w:rsidP="00CE2E8A">
      <w:pPr>
        <w:pStyle w:val="NormalWeb"/>
        <w:rPr>
          <w:color w:val="000000"/>
          <w:sz w:val="27"/>
          <w:szCs w:val="27"/>
        </w:rPr>
      </w:pPr>
      <w:r>
        <w:rPr>
          <w:color w:val="000000"/>
          <w:sz w:val="27"/>
          <w:szCs w:val="27"/>
        </w:rPr>
        <w:t>Good Selling,</w:t>
      </w:r>
    </w:p>
    <w:tbl>
      <w:tblPr>
        <w:tblW w:w="0" w:type="auto"/>
        <w:shd w:val="clear" w:color="auto" w:fill="FFFFFF"/>
        <w:tblCellMar>
          <w:left w:w="0" w:type="dxa"/>
          <w:right w:w="0" w:type="dxa"/>
        </w:tblCellMar>
        <w:tblLook w:val="04A0" w:firstRow="1" w:lastRow="0" w:firstColumn="1" w:lastColumn="0" w:noHBand="0" w:noVBand="1"/>
      </w:tblPr>
      <w:tblGrid>
        <w:gridCol w:w="9295"/>
        <w:gridCol w:w="65"/>
      </w:tblGrid>
      <w:tr w:rsidR="00CE2E8A" w14:paraId="2AAEED69" w14:textId="77777777" w:rsidTr="00CE2E8A">
        <w:trPr>
          <w:trHeight w:val="2383"/>
        </w:trPr>
        <w:tc>
          <w:tcPr>
            <w:tcW w:w="9295" w:type="dxa"/>
            <w:shd w:val="clear" w:color="auto" w:fill="FFFFFF"/>
            <w:tcMar>
              <w:top w:w="144" w:type="dxa"/>
              <w:left w:w="15" w:type="dxa"/>
              <w:bottom w:w="15" w:type="dxa"/>
              <w:right w:w="15" w:type="dxa"/>
            </w:tcMar>
            <w:hideMark/>
          </w:tcPr>
          <w:tbl>
            <w:tblPr>
              <w:tblW w:w="10722" w:type="dxa"/>
              <w:tblCellMar>
                <w:left w:w="0" w:type="dxa"/>
                <w:right w:w="0" w:type="dxa"/>
              </w:tblCellMar>
              <w:tblLook w:val="04A0" w:firstRow="1" w:lastRow="0" w:firstColumn="1" w:lastColumn="0" w:noHBand="0" w:noVBand="1"/>
            </w:tblPr>
            <w:tblGrid>
              <w:gridCol w:w="2863"/>
              <w:gridCol w:w="2617"/>
              <w:gridCol w:w="2701"/>
              <w:gridCol w:w="2541"/>
            </w:tblGrid>
            <w:tr w:rsidR="00CE2E8A" w14:paraId="26A9B76D" w14:textId="77777777" w:rsidTr="00214DC2">
              <w:trPr>
                <w:trHeight w:val="475"/>
              </w:trPr>
              <w:tc>
                <w:tcPr>
                  <w:tcW w:w="2863" w:type="dxa"/>
                  <w:tcBorders>
                    <w:top w:val="nil"/>
                    <w:left w:val="nil"/>
                    <w:bottom w:val="nil"/>
                    <w:right w:val="single" w:sz="8" w:space="0" w:color="auto"/>
                  </w:tcBorders>
                  <w:tcMar>
                    <w:top w:w="0" w:type="dxa"/>
                    <w:left w:w="108" w:type="dxa"/>
                    <w:bottom w:w="0" w:type="dxa"/>
                    <w:right w:w="108" w:type="dxa"/>
                  </w:tcMar>
                  <w:hideMark/>
                </w:tcPr>
                <w:p w14:paraId="376F59AC" w14:textId="77777777" w:rsidR="00CE2E8A" w:rsidRDefault="00CE2E8A" w:rsidP="00214DC2">
                  <w:pPr>
                    <w:rPr>
                      <w:b/>
                      <w:bCs/>
                      <w:sz w:val="20"/>
                      <w:szCs w:val="20"/>
                      <w14:ligatures w14:val="none"/>
                    </w:rPr>
                  </w:pPr>
                  <w:r>
                    <w:rPr>
                      <w:b/>
                      <w:bCs/>
                      <w:color w:val="000000"/>
                      <w:sz w:val="20"/>
                      <w:szCs w:val="20"/>
                      <w14:ligatures w14:val="none"/>
                    </w:rPr>
                    <w:t>Craig J. Geiger</w:t>
                  </w:r>
                  <w:r>
                    <w:rPr>
                      <w:b/>
                      <w:bCs/>
                      <w:sz w:val="20"/>
                      <w:szCs w:val="20"/>
                      <w14:ligatures w14:val="none"/>
                    </w:rPr>
                    <w:t xml:space="preserve"> </w:t>
                  </w:r>
                </w:p>
              </w:tc>
              <w:tc>
                <w:tcPr>
                  <w:tcW w:w="2617" w:type="dxa"/>
                  <w:tcBorders>
                    <w:top w:val="nil"/>
                    <w:left w:val="nil"/>
                    <w:bottom w:val="nil"/>
                    <w:right w:val="single" w:sz="8" w:space="0" w:color="auto"/>
                  </w:tcBorders>
                  <w:tcMar>
                    <w:top w:w="0" w:type="dxa"/>
                    <w:left w:w="108" w:type="dxa"/>
                    <w:bottom w:w="0" w:type="dxa"/>
                    <w:right w:w="108" w:type="dxa"/>
                  </w:tcMar>
                  <w:hideMark/>
                </w:tcPr>
                <w:p w14:paraId="45CFEBC5" w14:textId="77777777" w:rsidR="00CE2E8A" w:rsidRDefault="00CE2E8A" w:rsidP="00214DC2">
                  <w:pPr>
                    <w:rPr>
                      <w:sz w:val="20"/>
                      <w:szCs w:val="20"/>
                      <w14:ligatures w14:val="none"/>
                    </w:rPr>
                  </w:pPr>
                  <w:r>
                    <w:rPr>
                      <w:b/>
                      <w:bCs/>
                      <w:color w:val="000000"/>
                      <w:sz w:val="20"/>
                      <w:szCs w:val="20"/>
                      <w14:ligatures w14:val="none"/>
                    </w:rPr>
                    <w:t>Bryan Blake</w:t>
                  </w:r>
                </w:p>
              </w:tc>
              <w:tc>
                <w:tcPr>
                  <w:tcW w:w="2701" w:type="dxa"/>
                  <w:tcBorders>
                    <w:top w:val="nil"/>
                    <w:left w:val="nil"/>
                    <w:bottom w:val="nil"/>
                    <w:right w:val="single" w:sz="8" w:space="0" w:color="auto"/>
                  </w:tcBorders>
                  <w:tcMar>
                    <w:top w:w="0" w:type="dxa"/>
                    <w:left w:w="108" w:type="dxa"/>
                    <w:bottom w:w="0" w:type="dxa"/>
                    <w:right w:w="108" w:type="dxa"/>
                  </w:tcMar>
                  <w:hideMark/>
                </w:tcPr>
                <w:p w14:paraId="5494C346" w14:textId="77777777" w:rsidR="00CE2E8A" w:rsidRDefault="00CE2E8A" w:rsidP="00214DC2">
                  <w:pPr>
                    <w:rPr>
                      <w:sz w:val="20"/>
                      <w:szCs w:val="20"/>
                      <w14:ligatures w14:val="none"/>
                    </w:rPr>
                  </w:pPr>
                  <w:r>
                    <w:rPr>
                      <w:b/>
                      <w:bCs/>
                      <w:color w:val="000000"/>
                      <w:sz w:val="20"/>
                      <w:szCs w:val="20"/>
                      <w14:ligatures w14:val="none"/>
                    </w:rPr>
                    <w:t>Kyle Carroll</w:t>
                  </w:r>
                </w:p>
              </w:tc>
              <w:tc>
                <w:tcPr>
                  <w:tcW w:w="2541" w:type="dxa"/>
                  <w:tcBorders>
                    <w:top w:val="nil"/>
                    <w:left w:val="nil"/>
                    <w:bottom w:val="nil"/>
                    <w:right w:val="single" w:sz="8" w:space="0" w:color="auto"/>
                  </w:tcBorders>
                  <w:tcMar>
                    <w:top w:w="0" w:type="dxa"/>
                    <w:left w:w="108" w:type="dxa"/>
                    <w:bottom w:w="0" w:type="dxa"/>
                    <w:right w:w="108" w:type="dxa"/>
                  </w:tcMar>
                  <w:hideMark/>
                </w:tcPr>
                <w:p w14:paraId="6A14450B" w14:textId="77777777" w:rsidR="00CE2E8A" w:rsidRDefault="00CE2E8A" w:rsidP="00214DC2">
                  <w:pPr>
                    <w:rPr>
                      <w:sz w:val="20"/>
                      <w:szCs w:val="20"/>
                      <w14:ligatures w14:val="none"/>
                    </w:rPr>
                  </w:pPr>
                  <w:r>
                    <w:rPr>
                      <w:b/>
                      <w:bCs/>
                      <w:color w:val="000000"/>
                      <w:sz w:val="20"/>
                      <w:szCs w:val="20"/>
                      <w14:ligatures w14:val="none"/>
                    </w:rPr>
                    <w:t>Brittany Porter</w:t>
                  </w:r>
                </w:p>
              </w:tc>
            </w:tr>
            <w:tr w:rsidR="00CE2E8A" w14:paraId="1BE3ABD0" w14:textId="77777777" w:rsidTr="00214DC2">
              <w:trPr>
                <w:trHeight w:val="421"/>
              </w:trPr>
              <w:tc>
                <w:tcPr>
                  <w:tcW w:w="2863" w:type="dxa"/>
                  <w:tcBorders>
                    <w:top w:val="nil"/>
                    <w:left w:val="nil"/>
                    <w:bottom w:val="nil"/>
                    <w:right w:val="single" w:sz="8" w:space="0" w:color="auto"/>
                  </w:tcBorders>
                  <w:tcMar>
                    <w:top w:w="0" w:type="dxa"/>
                    <w:left w:w="108" w:type="dxa"/>
                    <w:bottom w:w="0" w:type="dxa"/>
                    <w:right w:w="108" w:type="dxa"/>
                  </w:tcMar>
                  <w:hideMark/>
                </w:tcPr>
                <w:p w14:paraId="57EE90CF" w14:textId="77777777" w:rsidR="00CE2E8A" w:rsidRDefault="00CE2E8A" w:rsidP="00214DC2">
                  <w:pPr>
                    <w:rPr>
                      <w:sz w:val="20"/>
                      <w:szCs w:val="20"/>
                      <w14:ligatures w14:val="none"/>
                    </w:rPr>
                  </w:pPr>
                  <w:r>
                    <w:rPr>
                      <w:color w:val="000000"/>
                      <w:sz w:val="20"/>
                      <w:szCs w:val="20"/>
                      <w14:ligatures w14:val="none"/>
                    </w:rPr>
                    <w:t>National Accounts Representative</w:t>
                  </w:r>
                </w:p>
              </w:tc>
              <w:tc>
                <w:tcPr>
                  <w:tcW w:w="2617" w:type="dxa"/>
                  <w:tcBorders>
                    <w:top w:val="nil"/>
                    <w:left w:val="nil"/>
                    <w:bottom w:val="nil"/>
                    <w:right w:val="single" w:sz="8" w:space="0" w:color="auto"/>
                  </w:tcBorders>
                  <w:tcMar>
                    <w:top w:w="0" w:type="dxa"/>
                    <w:left w:w="108" w:type="dxa"/>
                    <w:bottom w:w="0" w:type="dxa"/>
                    <w:right w:w="108" w:type="dxa"/>
                  </w:tcMar>
                  <w:hideMark/>
                </w:tcPr>
                <w:p w14:paraId="76364896" w14:textId="77777777" w:rsidR="00CE2E8A" w:rsidRDefault="00CE2E8A" w:rsidP="00214DC2">
                  <w:pPr>
                    <w:rPr>
                      <w:sz w:val="20"/>
                      <w:szCs w:val="20"/>
                      <w14:ligatures w14:val="none"/>
                    </w:rPr>
                  </w:pPr>
                  <w:r>
                    <w:rPr>
                      <w:color w:val="000000"/>
                      <w:sz w:val="20"/>
                      <w:szCs w:val="20"/>
                      <w14:ligatures w14:val="none"/>
                    </w:rPr>
                    <w:t>Senior Internal Wholesaler</w:t>
                  </w:r>
                </w:p>
              </w:tc>
              <w:tc>
                <w:tcPr>
                  <w:tcW w:w="2701" w:type="dxa"/>
                  <w:tcBorders>
                    <w:top w:val="nil"/>
                    <w:left w:val="nil"/>
                    <w:bottom w:val="nil"/>
                    <w:right w:val="single" w:sz="8" w:space="0" w:color="auto"/>
                  </w:tcBorders>
                  <w:tcMar>
                    <w:top w:w="0" w:type="dxa"/>
                    <w:left w:w="108" w:type="dxa"/>
                    <w:bottom w:w="0" w:type="dxa"/>
                    <w:right w:w="108" w:type="dxa"/>
                  </w:tcMar>
                  <w:hideMark/>
                </w:tcPr>
                <w:p w14:paraId="1B8B9835" w14:textId="77777777" w:rsidR="00CE2E8A" w:rsidRDefault="00CE2E8A" w:rsidP="00214DC2">
                  <w:pPr>
                    <w:rPr>
                      <w:sz w:val="20"/>
                      <w:szCs w:val="20"/>
                      <w14:ligatures w14:val="none"/>
                    </w:rPr>
                  </w:pPr>
                  <w:r>
                    <w:rPr>
                      <w:color w:val="000000"/>
                      <w:sz w:val="20"/>
                      <w:szCs w:val="20"/>
                      <w14:ligatures w14:val="none"/>
                    </w:rPr>
                    <w:t>Internal Wholesaler</w:t>
                  </w:r>
                </w:p>
              </w:tc>
              <w:tc>
                <w:tcPr>
                  <w:tcW w:w="2541" w:type="dxa"/>
                  <w:tcBorders>
                    <w:top w:val="nil"/>
                    <w:left w:val="nil"/>
                    <w:bottom w:val="nil"/>
                    <w:right w:val="single" w:sz="8" w:space="0" w:color="auto"/>
                  </w:tcBorders>
                  <w:tcMar>
                    <w:top w:w="0" w:type="dxa"/>
                    <w:left w:w="108" w:type="dxa"/>
                    <w:bottom w:w="0" w:type="dxa"/>
                    <w:right w:w="108" w:type="dxa"/>
                  </w:tcMar>
                  <w:hideMark/>
                </w:tcPr>
                <w:p w14:paraId="555AEA84" w14:textId="77777777" w:rsidR="00CE2E8A" w:rsidRDefault="00CE2E8A" w:rsidP="00214DC2">
                  <w:pPr>
                    <w:rPr>
                      <w:sz w:val="20"/>
                      <w:szCs w:val="20"/>
                      <w14:ligatures w14:val="none"/>
                    </w:rPr>
                  </w:pPr>
                  <w:r>
                    <w:rPr>
                      <w:color w:val="000000"/>
                      <w:sz w:val="20"/>
                      <w:szCs w:val="20"/>
                      <w14:ligatures w14:val="none"/>
                    </w:rPr>
                    <w:t>Annuity Field Advocate</w:t>
                  </w:r>
                </w:p>
              </w:tc>
            </w:tr>
            <w:tr w:rsidR="00CE2E8A" w14:paraId="7D1BA2ED" w14:textId="77777777" w:rsidTr="00214DC2">
              <w:trPr>
                <w:trHeight w:val="421"/>
              </w:trPr>
              <w:tc>
                <w:tcPr>
                  <w:tcW w:w="2863" w:type="dxa"/>
                  <w:tcBorders>
                    <w:top w:val="nil"/>
                    <w:left w:val="nil"/>
                    <w:bottom w:val="nil"/>
                    <w:right w:val="single" w:sz="8" w:space="0" w:color="auto"/>
                  </w:tcBorders>
                  <w:tcMar>
                    <w:top w:w="0" w:type="dxa"/>
                    <w:left w:w="108" w:type="dxa"/>
                    <w:bottom w:w="0" w:type="dxa"/>
                    <w:right w:w="108" w:type="dxa"/>
                  </w:tcMar>
                  <w:hideMark/>
                </w:tcPr>
                <w:p w14:paraId="08430695" w14:textId="77777777" w:rsidR="00CE2E8A" w:rsidRDefault="00CE2E8A" w:rsidP="00214DC2">
                  <w:pPr>
                    <w:rPr>
                      <w:sz w:val="20"/>
                      <w:szCs w:val="20"/>
                      <w14:ligatures w14:val="none"/>
                    </w:rPr>
                  </w:pPr>
                  <w:r>
                    <w:rPr>
                      <w:color w:val="000000"/>
                      <w:sz w:val="20"/>
                      <w:szCs w:val="20"/>
                      <w14:ligatures w14:val="none"/>
                    </w:rPr>
                    <w:t>Annuities</w:t>
                  </w:r>
                </w:p>
              </w:tc>
              <w:tc>
                <w:tcPr>
                  <w:tcW w:w="2617" w:type="dxa"/>
                  <w:tcBorders>
                    <w:top w:val="nil"/>
                    <w:left w:val="nil"/>
                    <w:bottom w:val="nil"/>
                    <w:right w:val="single" w:sz="8" w:space="0" w:color="auto"/>
                  </w:tcBorders>
                  <w:tcMar>
                    <w:top w:w="0" w:type="dxa"/>
                    <w:left w:w="108" w:type="dxa"/>
                    <w:bottom w:w="0" w:type="dxa"/>
                    <w:right w:w="108" w:type="dxa"/>
                  </w:tcMar>
                  <w:hideMark/>
                </w:tcPr>
                <w:p w14:paraId="0E604891" w14:textId="77777777" w:rsidR="00CE2E8A" w:rsidRDefault="00CE2E8A" w:rsidP="00214DC2">
                  <w:pPr>
                    <w:rPr>
                      <w:sz w:val="20"/>
                      <w:szCs w:val="20"/>
                      <w14:ligatures w14:val="none"/>
                    </w:rPr>
                  </w:pPr>
                  <w:r>
                    <w:rPr>
                      <w:color w:val="000000"/>
                      <w:sz w:val="20"/>
                      <w:szCs w:val="20"/>
                      <w14:ligatures w14:val="none"/>
                    </w:rPr>
                    <w:t>Annuity and Life Sales Desk</w:t>
                  </w:r>
                </w:p>
              </w:tc>
              <w:tc>
                <w:tcPr>
                  <w:tcW w:w="2701" w:type="dxa"/>
                  <w:tcBorders>
                    <w:top w:val="nil"/>
                    <w:left w:val="nil"/>
                    <w:bottom w:val="nil"/>
                    <w:right w:val="single" w:sz="8" w:space="0" w:color="auto"/>
                  </w:tcBorders>
                  <w:tcMar>
                    <w:top w:w="0" w:type="dxa"/>
                    <w:left w:w="108" w:type="dxa"/>
                    <w:bottom w:w="0" w:type="dxa"/>
                    <w:right w:w="108" w:type="dxa"/>
                  </w:tcMar>
                  <w:hideMark/>
                </w:tcPr>
                <w:p w14:paraId="1ECC8C43" w14:textId="77777777" w:rsidR="00CE2E8A" w:rsidRDefault="00CE2E8A" w:rsidP="00214DC2">
                  <w:pPr>
                    <w:rPr>
                      <w:sz w:val="20"/>
                      <w:szCs w:val="20"/>
                      <w14:ligatures w14:val="none"/>
                    </w:rPr>
                  </w:pPr>
                  <w:r>
                    <w:rPr>
                      <w:color w:val="000000"/>
                      <w:sz w:val="20"/>
                      <w:szCs w:val="20"/>
                      <w14:ligatures w14:val="none"/>
                    </w:rPr>
                    <w:t>Annuity and Life Sales Desk</w:t>
                  </w:r>
                </w:p>
              </w:tc>
              <w:tc>
                <w:tcPr>
                  <w:tcW w:w="2541" w:type="dxa"/>
                  <w:tcBorders>
                    <w:top w:val="nil"/>
                    <w:left w:val="nil"/>
                    <w:bottom w:val="nil"/>
                    <w:right w:val="single" w:sz="8" w:space="0" w:color="auto"/>
                  </w:tcBorders>
                  <w:tcMar>
                    <w:top w:w="0" w:type="dxa"/>
                    <w:left w:w="108" w:type="dxa"/>
                    <w:bottom w:w="0" w:type="dxa"/>
                    <w:right w:w="108" w:type="dxa"/>
                  </w:tcMar>
                  <w:hideMark/>
                </w:tcPr>
                <w:p w14:paraId="282DB8EA" w14:textId="77777777" w:rsidR="00CE2E8A" w:rsidRDefault="00CE2E8A" w:rsidP="00214DC2">
                  <w:pPr>
                    <w:rPr>
                      <w:sz w:val="20"/>
                      <w:szCs w:val="20"/>
                      <w14:ligatures w14:val="none"/>
                    </w:rPr>
                  </w:pPr>
                  <w:r>
                    <w:rPr>
                      <w:color w:val="000000"/>
                      <w:sz w:val="20"/>
                      <w:szCs w:val="20"/>
                      <w14:ligatures w14:val="none"/>
                    </w:rPr>
                    <w:t> </w:t>
                  </w:r>
                </w:p>
              </w:tc>
            </w:tr>
            <w:tr w:rsidR="00CE2E8A" w14:paraId="21795DC2" w14:textId="77777777" w:rsidTr="00214DC2">
              <w:trPr>
                <w:trHeight w:val="446"/>
              </w:trPr>
              <w:tc>
                <w:tcPr>
                  <w:tcW w:w="2863" w:type="dxa"/>
                  <w:tcBorders>
                    <w:top w:val="nil"/>
                    <w:left w:val="nil"/>
                    <w:bottom w:val="nil"/>
                    <w:right w:val="single" w:sz="8" w:space="0" w:color="auto"/>
                  </w:tcBorders>
                  <w:tcMar>
                    <w:top w:w="0" w:type="dxa"/>
                    <w:left w:w="108" w:type="dxa"/>
                    <w:bottom w:w="0" w:type="dxa"/>
                    <w:right w:w="108" w:type="dxa"/>
                  </w:tcMar>
                  <w:hideMark/>
                </w:tcPr>
                <w:p w14:paraId="28464799" w14:textId="77777777" w:rsidR="00CE2E8A" w:rsidRDefault="00CE2E8A" w:rsidP="00214DC2">
                  <w:pPr>
                    <w:rPr>
                      <w:sz w:val="20"/>
                      <w:szCs w:val="20"/>
                      <w14:ligatures w14:val="none"/>
                    </w:rPr>
                  </w:pPr>
                  <w:r>
                    <w:rPr>
                      <w:sz w:val="20"/>
                      <w:szCs w:val="20"/>
                      <w14:ligatures w14:val="none"/>
                    </w:rPr>
                    <w:t>312-965-4542</w:t>
                  </w:r>
                </w:p>
              </w:tc>
              <w:tc>
                <w:tcPr>
                  <w:tcW w:w="2617" w:type="dxa"/>
                  <w:tcBorders>
                    <w:top w:val="nil"/>
                    <w:left w:val="nil"/>
                    <w:bottom w:val="nil"/>
                    <w:right w:val="single" w:sz="8" w:space="0" w:color="auto"/>
                  </w:tcBorders>
                  <w:tcMar>
                    <w:top w:w="0" w:type="dxa"/>
                    <w:left w:w="108" w:type="dxa"/>
                    <w:bottom w:w="0" w:type="dxa"/>
                    <w:right w:w="108" w:type="dxa"/>
                  </w:tcMar>
                  <w:hideMark/>
                </w:tcPr>
                <w:p w14:paraId="2B3588D5" w14:textId="77777777" w:rsidR="00CE2E8A" w:rsidRDefault="00CE2E8A" w:rsidP="00214DC2">
                  <w:pPr>
                    <w:rPr>
                      <w:sz w:val="20"/>
                      <w:szCs w:val="20"/>
                      <w14:ligatures w14:val="none"/>
                    </w:rPr>
                  </w:pPr>
                  <w:r>
                    <w:rPr>
                      <w:color w:val="000000"/>
                      <w:sz w:val="20"/>
                      <w:szCs w:val="20"/>
                      <w14:ligatures w14:val="none"/>
                    </w:rPr>
                    <w:t>214-638-9263</w:t>
                  </w:r>
                </w:p>
              </w:tc>
              <w:tc>
                <w:tcPr>
                  <w:tcW w:w="2701" w:type="dxa"/>
                  <w:tcBorders>
                    <w:top w:val="nil"/>
                    <w:left w:val="nil"/>
                    <w:bottom w:val="nil"/>
                    <w:right w:val="single" w:sz="8" w:space="0" w:color="auto"/>
                  </w:tcBorders>
                  <w:tcMar>
                    <w:top w:w="0" w:type="dxa"/>
                    <w:left w:w="108" w:type="dxa"/>
                    <w:bottom w:w="0" w:type="dxa"/>
                    <w:right w:w="108" w:type="dxa"/>
                  </w:tcMar>
                  <w:hideMark/>
                </w:tcPr>
                <w:p w14:paraId="3FCF1B76" w14:textId="77777777" w:rsidR="00CE2E8A" w:rsidRDefault="00CE2E8A" w:rsidP="00214DC2">
                  <w:pPr>
                    <w:rPr>
                      <w:sz w:val="20"/>
                      <w:szCs w:val="20"/>
                      <w14:ligatures w14:val="none"/>
                    </w:rPr>
                  </w:pPr>
                  <w:r>
                    <w:rPr>
                      <w:color w:val="000000"/>
                      <w:sz w:val="20"/>
                      <w:szCs w:val="20"/>
                      <w14:ligatures w14:val="none"/>
                    </w:rPr>
                    <w:t>214-638-9280</w:t>
                  </w:r>
                </w:p>
              </w:tc>
              <w:tc>
                <w:tcPr>
                  <w:tcW w:w="2541" w:type="dxa"/>
                  <w:tcBorders>
                    <w:top w:val="nil"/>
                    <w:left w:val="nil"/>
                    <w:bottom w:val="nil"/>
                    <w:right w:val="single" w:sz="8" w:space="0" w:color="auto"/>
                  </w:tcBorders>
                  <w:tcMar>
                    <w:top w:w="0" w:type="dxa"/>
                    <w:left w:w="108" w:type="dxa"/>
                    <w:bottom w:w="0" w:type="dxa"/>
                    <w:right w:w="108" w:type="dxa"/>
                  </w:tcMar>
                  <w:hideMark/>
                </w:tcPr>
                <w:p w14:paraId="075D4DAB" w14:textId="77777777" w:rsidR="00CE2E8A" w:rsidRDefault="00CE2E8A" w:rsidP="00214DC2">
                  <w:pPr>
                    <w:rPr>
                      <w:sz w:val="20"/>
                      <w:szCs w:val="20"/>
                      <w14:ligatures w14:val="none"/>
                    </w:rPr>
                  </w:pPr>
                  <w:r>
                    <w:rPr>
                      <w:color w:val="000000"/>
                      <w:sz w:val="20"/>
                      <w:szCs w:val="20"/>
                      <w14:ligatures w14:val="none"/>
                    </w:rPr>
                    <w:t>802-224-1631</w:t>
                  </w:r>
                </w:p>
              </w:tc>
            </w:tr>
            <w:tr w:rsidR="00CE2E8A" w14:paraId="3E3B3774" w14:textId="77777777" w:rsidTr="00214DC2">
              <w:trPr>
                <w:trHeight w:val="902"/>
              </w:trPr>
              <w:tc>
                <w:tcPr>
                  <w:tcW w:w="2863" w:type="dxa"/>
                  <w:tcBorders>
                    <w:top w:val="nil"/>
                    <w:left w:val="nil"/>
                    <w:bottom w:val="nil"/>
                    <w:right w:val="single" w:sz="8" w:space="0" w:color="auto"/>
                  </w:tcBorders>
                  <w:tcMar>
                    <w:top w:w="0" w:type="dxa"/>
                    <w:left w:w="108" w:type="dxa"/>
                    <w:bottom w:w="0" w:type="dxa"/>
                    <w:right w:w="108" w:type="dxa"/>
                  </w:tcMar>
                  <w:hideMark/>
                </w:tcPr>
                <w:p w14:paraId="480E9DA3" w14:textId="77777777" w:rsidR="00CE2E8A" w:rsidRDefault="00CE2E8A" w:rsidP="00214DC2">
                  <w:pPr>
                    <w:rPr>
                      <w:sz w:val="20"/>
                      <w:szCs w:val="20"/>
                      <w14:ligatures w14:val="none"/>
                    </w:rPr>
                  </w:pPr>
                  <w:hyperlink r:id="rId5" w:history="1">
                    <w:r>
                      <w:rPr>
                        <w:rStyle w:val="Hyperlink"/>
                        <w:sz w:val="20"/>
                        <w:szCs w:val="20"/>
                        <w14:ligatures w14:val="none"/>
                      </w:rPr>
                      <w:t>cgeiger@nationalLife.com</w:t>
                    </w:r>
                  </w:hyperlink>
                </w:p>
              </w:tc>
              <w:tc>
                <w:tcPr>
                  <w:tcW w:w="2617" w:type="dxa"/>
                  <w:tcBorders>
                    <w:top w:val="nil"/>
                    <w:left w:val="nil"/>
                    <w:bottom w:val="nil"/>
                    <w:right w:val="single" w:sz="8" w:space="0" w:color="auto"/>
                  </w:tcBorders>
                  <w:tcMar>
                    <w:top w:w="0" w:type="dxa"/>
                    <w:left w:w="108" w:type="dxa"/>
                    <w:bottom w:w="0" w:type="dxa"/>
                    <w:right w:w="108" w:type="dxa"/>
                  </w:tcMar>
                  <w:hideMark/>
                </w:tcPr>
                <w:p w14:paraId="73C25EF6" w14:textId="77777777" w:rsidR="00CE2E8A" w:rsidRDefault="00CE2E8A" w:rsidP="00214DC2">
                  <w:pPr>
                    <w:rPr>
                      <w:sz w:val="20"/>
                      <w:szCs w:val="20"/>
                      <w14:ligatures w14:val="none"/>
                    </w:rPr>
                  </w:pPr>
                  <w:hyperlink r:id="rId6" w:history="1">
                    <w:r>
                      <w:rPr>
                        <w:rStyle w:val="Hyperlink"/>
                        <w:sz w:val="20"/>
                        <w:szCs w:val="20"/>
                        <w14:ligatures w14:val="none"/>
                      </w:rPr>
                      <w:t>bblake@nationalLife.com</w:t>
                    </w:r>
                  </w:hyperlink>
                </w:p>
              </w:tc>
              <w:tc>
                <w:tcPr>
                  <w:tcW w:w="2701" w:type="dxa"/>
                  <w:tcBorders>
                    <w:top w:val="nil"/>
                    <w:left w:val="nil"/>
                    <w:bottom w:val="nil"/>
                    <w:right w:val="single" w:sz="8" w:space="0" w:color="auto"/>
                  </w:tcBorders>
                  <w:tcMar>
                    <w:top w:w="0" w:type="dxa"/>
                    <w:left w:w="108" w:type="dxa"/>
                    <w:bottom w:w="0" w:type="dxa"/>
                    <w:right w:w="108" w:type="dxa"/>
                  </w:tcMar>
                  <w:hideMark/>
                </w:tcPr>
                <w:p w14:paraId="02C20107" w14:textId="77777777" w:rsidR="00CE2E8A" w:rsidRDefault="00CE2E8A" w:rsidP="00214DC2">
                  <w:pPr>
                    <w:rPr>
                      <w:sz w:val="20"/>
                      <w:szCs w:val="20"/>
                      <w14:ligatures w14:val="none"/>
                    </w:rPr>
                  </w:pPr>
                  <w:hyperlink r:id="rId7" w:history="1">
                    <w:r>
                      <w:rPr>
                        <w:rStyle w:val="Hyperlink"/>
                        <w:sz w:val="20"/>
                        <w:szCs w:val="20"/>
                        <w14:ligatures w14:val="none"/>
                      </w:rPr>
                      <w:t>kcarroll@nationalLife.com</w:t>
                    </w:r>
                  </w:hyperlink>
                  <w:r>
                    <w:rPr>
                      <w:color w:val="000000"/>
                      <w:sz w:val="20"/>
                      <w:szCs w:val="20"/>
                      <w14:ligatures w14:val="none"/>
                    </w:rPr>
                    <w:t xml:space="preserve"> </w:t>
                  </w:r>
                </w:p>
                <w:p w14:paraId="67AE0E2E" w14:textId="77777777" w:rsidR="00CE2E8A" w:rsidRDefault="00CE2E8A" w:rsidP="00214DC2">
                  <w:pPr>
                    <w:rPr>
                      <w:sz w:val="20"/>
                      <w:szCs w:val="20"/>
                      <w14:ligatures w14:val="none"/>
                    </w:rPr>
                  </w:pPr>
                  <w:r>
                    <w:rPr>
                      <w:color w:val="000000"/>
                      <w:sz w:val="20"/>
                      <w:szCs w:val="20"/>
                      <w14:ligatures w14:val="none"/>
                    </w:rPr>
                    <w:t> </w:t>
                  </w:r>
                </w:p>
              </w:tc>
              <w:tc>
                <w:tcPr>
                  <w:tcW w:w="2541" w:type="dxa"/>
                  <w:tcBorders>
                    <w:top w:val="nil"/>
                    <w:left w:val="nil"/>
                    <w:bottom w:val="nil"/>
                    <w:right w:val="single" w:sz="8" w:space="0" w:color="auto"/>
                  </w:tcBorders>
                  <w:tcMar>
                    <w:top w:w="0" w:type="dxa"/>
                    <w:left w:w="108" w:type="dxa"/>
                    <w:bottom w:w="0" w:type="dxa"/>
                    <w:right w:w="108" w:type="dxa"/>
                  </w:tcMar>
                  <w:hideMark/>
                </w:tcPr>
                <w:p w14:paraId="1B62F41A" w14:textId="77777777" w:rsidR="00CE2E8A" w:rsidRDefault="00CE2E8A" w:rsidP="00214DC2">
                  <w:pPr>
                    <w:rPr>
                      <w:sz w:val="20"/>
                      <w:szCs w:val="20"/>
                      <w14:ligatures w14:val="none"/>
                    </w:rPr>
                  </w:pPr>
                  <w:r>
                    <w:rPr>
                      <w:color w:val="467886"/>
                      <w:sz w:val="20"/>
                      <w:szCs w:val="20"/>
                      <w:u w:val="single"/>
                      <w14:ligatures w14:val="none"/>
                    </w:rPr>
                    <w:t>bp</w:t>
                  </w:r>
                  <w:hyperlink r:id="rId8" w:history="1">
                    <w:r>
                      <w:rPr>
                        <w:rStyle w:val="Hyperlink"/>
                        <w:sz w:val="20"/>
                        <w:szCs w:val="20"/>
                        <w14:ligatures w14:val="none"/>
                      </w:rPr>
                      <w:t>orter@nationalLife.com</w:t>
                    </w:r>
                  </w:hyperlink>
                  <w:r>
                    <w:rPr>
                      <w:color w:val="000000"/>
                      <w:sz w:val="20"/>
                      <w:szCs w:val="20"/>
                      <w14:ligatures w14:val="none"/>
                    </w:rPr>
                    <w:t xml:space="preserve"> </w:t>
                  </w:r>
                </w:p>
              </w:tc>
            </w:tr>
          </w:tbl>
          <w:p w14:paraId="00CB24DA" w14:textId="77777777" w:rsidR="00CE2E8A" w:rsidRDefault="00CE2E8A" w:rsidP="00214DC2">
            <w:pPr>
              <w:rPr>
                <w:rFonts w:ascii="Aptos" w:hAnsi="Aptos" w:cs="Aptos"/>
                <w:sz w:val="20"/>
                <w:szCs w:val="20"/>
                <w14:ligatures w14:val="none"/>
              </w:rPr>
            </w:pPr>
            <w:r>
              <w:rPr>
                <w:color w:val="000000"/>
                <w:sz w:val="20"/>
                <w:szCs w:val="20"/>
                <w14:ligatures w14:val="none"/>
              </w:rPr>
              <w:t>  </w:t>
            </w:r>
          </w:p>
        </w:tc>
        <w:tc>
          <w:tcPr>
            <w:tcW w:w="65" w:type="dxa"/>
            <w:shd w:val="clear" w:color="auto" w:fill="FFFFFF"/>
            <w:tcMar>
              <w:top w:w="15" w:type="dxa"/>
              <w:left w:w="15" w:type="dxa"/>
              <w:bottom w:w="15" w:type="dxa"/>
              <w:right w:w="15" w:type="dxa"/>
            </w:tcMar>
            <w:hideMark/>
          </w:tcPr>
          <w:p w14:paraId="0C516C28" w14:textId="77777777" w:rsidR="00CE2E8A" w:rsidRDefault="00CE2E8A" w:rsidP="00214DC2">
            <w:pPr>
              <w:rPr>
                <w:sz w:val="20"/>
                <w:szCs w:val="20"/>
                <w14:ligatures w14:val="none"/>
              </w:rPr>
            </w:pPr>
            <w:r>
              <w:rPr>
                <w:color w:val="000000"/>
                <w:sz w:val="20"/>
                <w:szCs w:val="20"/>
                <w14:ligatures w14:val="none"/>
              </w:rPr>
              <w:t> </w:t>
            </w:r>
          </w:p>
        </w:tc>
      </w:tr>
    </w:tbl>
    <w:p w14:paraId="1567CAF3" w14:textId="77777777" w:rsidR="00CE2E8A" w:rsidRDefault="00CE2E8A" w:rsidP="00CE2E8A">
      <w:pPr>
        <w:pStyle w:val="NormalWeb"/>
        <w:rPr>
          <w:b/>
          <w:bCs/>
          <w:color w:val="000000"/>
          <w:sz w:val="16"/>
          <w:szCs w:val="16"/>
        </w:rPr>
      </w:pPr>
    </w:p>
    <w:p w14:paraId="69DDCD12" w14:textId="77777777" w:rsidR="00CE2E8A" w:rsidRDefault="00CE2E8A" w:rsidP="00CE2E8A">
      <w:pPr>
        <w:pStyle w:val="NormalWeb"/>
        <w:rPr>
          <w:b/>
          <w:bCs/>
          <w:color w:val="000000"/>
          <w:sz w:val="16"/>
          <w:szCs w:val="16"/>
        </w:rPr>
      </w:pPr>
    </w:p>
    <w:p w14:paraId="1224BF1C" w14:textId="77777777" w:rsidR="00CE2E8A" w:rsidRDefault="00CE2E8A" w:rsidP="00CE2E8A">
      <w:pPr>
        <w:pStyle w:val="NormalWeb"/>
        <w:rPr>
          <w:b/>
          <w:bCs/>
          <w:color w:val="000000"/>
          <w:sz w:val="27"/>
          <w:szCs w:val="27"/>
        </w:rPr>
      </w:pPr>
    </w:p>
    <w:p w14:paraId="3B07154A" w14:textId="15E50A77" w:rsidR="00CE2E8A" w:rsidRDefault="00CE2E8A">
      <w:r>
        <w:rPr>
          <w:rFonts w:ascii="Calibri" w:hAnsi="Calibri" w:cs="Calibri"/>
          <w:noProof/>
          <w:sz w:val="20"/>
          <w:szCs w:val="20"/>
        </w:rPr>
        <w:lastRenderedPageBreak/>
        <w:drawing>
          <wp:inline distT="0" distB="0" distL="0" distR="0" wp14:anchorId="0ECF28B0" wp14:editId="3C5896EB">
            <wp:extent cx="2171700" cy="866775"/>
            <wp:effectExtent l="0" t="0" r="0" b="9525"/>
            <wp:docPr id="13323219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71700" cy="866775"/>
                    </a:xfrm>
                    <a:prstGeom prst="rect">
                      <a:avLst/>
                    </a:prstGeom>
                    <a:noFill/>
                    <a:ln>
                      <a:noFill/>
                    </a:ln>
                  </pic:spPr>
                </pic:pic>
              </a:graphicData>
            </a:graphic>
          </wp:inline>
        </w:drawing>
      </w:r>
    </w:p>
    <w:p w14:paraId="209EBD7B" w14:textId="77777777" w:rsidR="00CE2E8A" w:rsidRDefault="00CE2E8A" w:rsidP="00CE2E8A">
      <w:pPr>
        <w:rPr>
          <w:rFonts w:ascii="Arial" w:hAnsi="Arial" w:cs="Arial"/>
          <w:color w:val="5CA545"/>
          <w:sz w:val="18"/>
          <w:szCs w:val="18"/>
        </w:rPr>
      </w:pPr>
      <w:r>
        <w:rPr>
          <w:rFonts w:ascii="Arial" w:hAnsi="Arial" w:cs="Arial"/>
          <w:color w:val="5CA545"/>
          <w:sz w:val="18"/>
          <w:szCs w:val="18"/>
        </w:rPr>
        <w:t>Print Responsibly</w:t>
      </w:r>
    </w:p>
    <w:p w14:paraId="7E7A14AD" w14:textId="6018506A" w:rsidR="009D18D3" w:rsidRPr="009D18D3" w:rsidRDefault="009D18D3" w:rsidP="009D18D3">
      <w:pPr>
        <w:rPr>
          <w:rFonts w:ascii="Calibri" w:hAnsi="Calibri" w:cs="Calibri"/>
          <w:sz w:val="22"/>
          <w:szCs w:val="22"/>
        </w:rPr>
      </w:pPr>
      <w:r w:rsidRPr="009D18D3">
        <w:rPr>
          <w:rFonts w:ascii="Calibri" w:hAnsi="Calibri" w:cs="Calibri"/>
          <w:sz w:val="22"/>
          <w:szCs w:val="22"/>
        </w:rPr>
        <w:t>Products Issued by:</w:t>
      </w:r>
    </w:p>
    <w:p w14:paraId="10BC75EF" w14:textId="2C783A31" w:rsidR="009D18D3" w:rsidRDefault="009D18D3" w:rsidP="009D18D3">
      <w:pPr>
        <w:rPr>
          <w:rFonts w:ascii="Calibri" w:hAnsi="Calibri" w:cs="Calibri"/>
          <w:sz w:val="22"/>
          <w:szCs w:val="22"/>
        </w:rPr>
      </w:pPr>
      <w:r w:rsidRPr="009D18D3">
        <w:rPr>
          <w:rFonts w:ascii="Calibri" w:hAnsi="Calibri" w:cs="Calibri"/>
          <w:sz w:val="22"/>
          <w:szCs w:val="22"/>
        </w:rPr>
        <w:t>Life Insurance Company of the Southwest</w:t>
      </w:r>
    </w:p>
    <w:p w14:paraId="3C83A005" w14:textId="65E47234" w:rsidR="00CE2E8A" w:rsidRPr="00CE2E8A" w:rsidRDefault="00CE2E8A" w:rsidP="00CE2E8A">
      <w:pPr>
        <w:rPr>
          <w:rFonts w:ascii="Arial" w:hAnsi="Arial" w:cs="Arial"/>
          <w:color w:val="000000"/>
          <w:sz w:val="16"/>
          <w:szCs w:val="16"/>
        </w:rPr>
      </w:pPr>
      <w:r>
        <w:rPr>
          <w:rFonts w:ascii="Arial" w:hAnsi="Arial" w:cs="Arial"/>
          <w:color w:val="000000"/>
          <w:sz w:val="16"/>
          <w:szCs w:val="16"/>
        </w:rPr>
        <w:t>National Life Group® is a trade name of National Life Insurance Company, Montpelier, VT, Life Insurance Company of the Southwest (LSW), Addison, TX, and their affiliates. Each company of National Life Group® is solely responsible for its own financial condition and contractual obligations. LSW is not an authorized insurer in New York and does not conduct insurance business in New York.</w:t>
      </w:r>
    </w:p>
    <w:p w14:paraId="09165B25" w14:textId="2265F563" w:rsidR="00CE2E8A" w:rsidRPr="009B153F" w:rsidRDefault="00CE2E8A" w:rsidP="00CE2E8A">
      <w:pPr>
        <w:rPr>
          <w:rFonts w:ascii="Calibri" w:hAnsi="Calibri" w:cs="Calibri"/>
          <w:sz w:val="16"/>
          <w:szCs w:val="16"/>
        </w:rPr>
      </w:pPr>
      <w:r w:rsidRPr="009B153F">
        <w:rPr>
          <w:rFonts w:ascii="Calibri" w:hAnsi="Calibri" w:cs="Calibri"/>
          <w:sz w:val="16"/>
          <w:szCs w:val="16"/>
        </w:rPr>
        <w:t>FOR RECRUITING/FINANCIAL PROFESSIONAL USE ONLY - NOT FOR USE WITH THE PUBLIC</w:t>
      </w:r>
    </w:p>
    <w:p w14:paraId="39B349DF" w14:textId="77777777" w:rsidR="00CE2E8A" w:rsidRPr="00BD2B4D" w:rsidRDefault="00CE2E8A" w:rsidP="00CE2E8A">
      <w:pPr>
        <w:rPr>
          <w:sz w:val="16"/>
          <w:szCs w:val="16"/>
        </w:rPr>
      </w:pPr>
      <w:r>
        <w:rPr>
          <w:sz w:val="16"/>
          <w:szCs w:val="16"/>
        </w:rPr>
        <w:t xml:space="preserve">This is an advertisement. To be removed from future mailings, please enter email address here: </w:t>
      </w:r>
      <w:hyperlink r:id="rId11" w:history="1">
        <w:r w:rsidRPr="001B58DD">
          <w:rPr>
            <w:rStyle w:val="Hyperlink"/>
            <w:sz w:val="16"/>
            <w:szCs w:val="16"/>
          </w:rPr>
          <w:t>www.nationallifegroup.com/unsub</w:t>
        </w:r>
      </w:hyperlink>
      <w:r>
        <w:rPr>
          <w:sz w:val="16"/>
          <w:szCs w:val="16"/>
        </w:rPr>
        <w:t xml:space="preserve">. </w:t>
      </w:r>
    </w:p>
    <w:p w14:paraId="0A75D2ED" w14:textId="715ED58C" w:rsidR="00CE2E8A" w:rsidRDefault="00CE2E8A" w:rsidP="00CE2E8A">
      <w:pPr>
        <w:pStyle w:val="PlainText"/>
        <w:ind w:firstLine="360"/>
        <w:rPr>
          <w:sz w:val="16"/>
          <w:szCs w:val="16"/>
        </w:rPr>
      </w:pPr>
      <w:r>
        <w:rPr>
          <w:sz w:val="16"/>
          <w:szCs w:val="16"/>
        </w:rPr>
        <w:t>1.*</w:t>
      </w:r>
      <w:r w:rsidRPr="00CF109B">
        <w:rPr>
          <w:sz w:val="16"/>
          <w:szCs w:val="16"/>
        </w:rPr>
        <w:t>Source</w:t>
      </w:r>
      <w:r>
        <w:rPr>
          <w:sz w:val="16"/>
          <w:szCs w:val="16"/>
        </w:rPr>
        <w:t>: 8/25/25 Moneywise, Americans have a new comfortable retirement number for 2025</w:t>
      </w:r>
    </w:p>
    <w:p w14:paraId="222BE1D2" w14:textId="63DF63B9" w:rsidR="00CE2E8A" w:rsidRDefault="00CE2E8A" w:rsidP="00CE2E8A">
      <w:pPr>
        <w:pStyle w:val="PlainText"/>
        <w:ind w:left="360"/>
      </w:pPr>
      <w:r w:rsidRPr="00CE2E8A">
        <w:rPr>
          <w:sz w:val="16"/>
          <w:szCs w:val="16"/>
        </w:rPr>
        <w:t xml:space="preserve"> </w:t>
      </w:r>
      <w:hyperlink r:id="rId12" w:history="1">
        <w:r w:rsidRPr="00CE2E8A">
          <w:rPr>
            <w:rStyle w:val="Hyperlink"/>
            <w:rFonts w:eastAsiaTheme="majorEastAsia"/>
            <w:sz w:val="16"/>
            <w:szCs w:val="16"/>
          </w:rPr>
          <w:t>https://urldefense.com/v3/__https://finance.yahoo.com/news/americans-retire-comfortably-number-2025-190300583.html__;!!BeEutw6RKg!HOhPr0Kdzl3um8io_TNmiQfTpEqYc_R2kFHcCrrY5eI7RkjIJY8sxWvSulAtj81_Ffi7ZGGAFJqjcHGpG40uQ425S-A$</w:t>
        </w:r>
      </w:hyperlink>
    </w:p>
    <w:p w14:paraId="2E25C907" w14:textId="08830CE2" w:rsidR="00CE2E8A" w:rsidRDefault="00CE2E8A" w:rsidP="00CE2E8A">
      <w:pPr>
        <w:rPr>
          <w:sz w:val="16"/>
          <w:szCs w:val="16"/>
        </w:rPr>
      </w:pPr>
    </w:p>
    <w:p w14:paraId="7A9DE349" w14:textId="4BDECBF7" w:rsidR="00CE2E8A" w:rsidRDefault="00CE2E8A" w:rsidP="00CE2E8A">
      <w:pPr>
        <w:rPr>
          <w:sz w:val="16"/>
          <w:szCs w:val="16"/>
        </w:rPr>
      </w:pPr>
      <w:r>
        <w:rPr>
          <w:sz w:val="16"/>
          <w:szCs w:val="16"/>
        </w:rPr>
        <w:t>2.</w:t>
      </w:r>
      <w:r w:rsidRPr="00E40833">
        <w:t xml:space="preserve"> </w:t>
      </w:r>
      <w:r w:rsidRPr="00E40833">
        <w:rPr>
          <w:sz w:val="16"/>
          <w:szCs w:val="16"/>
        </w:rPr>
        <w:t>The Standard GLIR has a charge of 1% of the benefit base, deducted from the accumulated value annually.</w:t>
      </w:r>
    </w:p>
    <w:p w14:paraId="16256E3E" w14:textId="6F38CA76" w:rsidR="00CE2E8A" w:rsidRDefault="00CE2E8A" w:rsidP="00CE2E8A">
      <w:pPr>
        <w:rPr>
          <w:sz w:val="16"/>
          <w:szCs w:val="16"/>
        </w:rPr>
      </w:pPr>
      <w:r>
        <w:rPr>
          <w:rFonts w:ascii="Times New Roman" w:hAnsi="Times New Roman" w:cs="Times New Roman"/>
          <w:color w:val="000000"/>
          <w:kern w:val="0"/>
          <w:sz w:val="16"/>
          <w:szCs w:val="16"/>
          <w14:ligatures w14:val="none"/>
        </w:rPr>
        <w:t xml:space="preserve">3. Withdrawals made prior to age 59 ½ may be subject to a 10% Federal Tax Penalty. A bonus recapture charge will still be apply, based on how long the owner has had the annuity and how much is withdrawn </w:t>
      </w:r>
      <w:r>
        <w:rPr>
          <w:sz w:val="16"/>
          <w:szCs w:val="16"/>
        </w:rPr>
        <w:t>.</w:t>
      </w:r>
      <w:r w:rsidRPr="004E475D">
        <w:rPr>
          <w:sz w:val="16"/>
          <w:szCs w:val="16"/>
        </w:rPr>
        <w:t>Guaranteed Lifetime Income Riders (GLIRs) are only available to purchase on Life Insurance Company of the Southwest (LSW) fixed indexed annuities. Riders are an optional benefit for which premium is charged, are available at issue only, and may not be available in all states.</w:t>
      </w:r>
    </w:p>
    <w:p w14:paraId="35030AC7" w14:textId="16708EDC" w:rsidR="00CE2E8A" w:rsidRDefault="00CE2E8A" w:rsidP="00CE2E8A">
      <w:pPr>
        <w:rPr>
          <w:rFonts w:ascii="Times New Roman" w:hAnsi="Times New Roman" w:cs="Times New Roman"/>
          <w:color w:val="000000"/>
          <w:kern w:val="0"/>
          <w:sz w:val="16"/>
          <w:szCs w:val="16"/>
          <w14:ligatures w14:val="none"/>
        </w:rPr>
      </w:pPr>
      <w:r>
        <w:rPr>
          <w:rFonts w:ascii="Times New Roman" w:hAnsi="Times New Roman" w:cs="Times New Roman"/>
          <w:color w:val="000000"/>
          <w:kern w:val="0"/>
          <w:sz w:val="16"/>
          <w:szCs w:val="16"/>
          <w14:ligatures w14:val="none"/>
        </w:rPr>
        <w:t>4</w:t>
      </w:r>
      <w:r w:rsidRPr="00486115">
        <w:rPr>
          <w:rFonts w:ascii="Times New Roman" w:hAnsi="Times New Roman" w:cs="Times New Roman"/>
          <w:color w:val="000000"/>
          <w:kern w:val="0"/>
          <w:sz w:val="16"/>
          <w:szCs w:val="16"/>
          <w14:ligatures w14:val="none"/>
        </w:rPr>
        <w:t>. To qualify for the Income Doubler, the annuitant must be unable to perform two of the six Activities of Daily Living permanently.</w:t>
      </w:r>
      <w:r>
        <w:rPr>
          <w:rFonts w:ascii="Times New Roman" w:hAnsi="Times New Roman" w:cs="Times New Roman"/>
          <w:color w:val="000000"/>
          <w:kern w:val="0"/>
          <w:sz w:val="16"/>
          <w:szCs w:val="16"/>
          <w14:ligatures w14:val="none"/>
        </w:rPr>
        <w:t xml:space="preserve"> </w:t>
      </w:r>
    </w:p>
    <w:p w14:paraId="29D155AC" w14:textId="48F0AC8C" w:rsidR="00F12199" w:rsidRPr="008019D1" w:rsidRDefault="008019D1">
      <w:pPr>
        <w:rPr>
          <w:sz w:val="16"/>
          <w:szCs w:val="16"/>
        </w:rPr>
      </w:pPr>
      <w:r w:rsidRPr="008019D1">
        <w:rPr>
          <w:sz w:val="16"/>
          <w:szCs w:val="16"/>
        </w:rPr>
        <w:t>TC8329313(0825)1</w:t>
      </w:r>
    </w:p>
    <w:sectPr w:rsidR="00F12199" w:rsidRPr="00801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54E48"/>
    <w:multiLevelType w:val="hybridMultilevel"/>
    <w:tmpl w:val="C1789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1806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99"/>
    <w:rsid w:val="000444BC"/>
    <w:rsid w:val="0023729A"/>
    <w:rsid w:val="00715B35"/>
    <w:rsid w:val="008019D1"/>
    <w:rsid w:val="008C410E"/>
    <w:rsid w:val="009D18D3"/>
    <w:rsid w:val="00AA6C65"/>
    <w:rsid w:val="00AE789A"/>
    <w:rsid w:val="00BE43D7"/>
    <w:rsid w:val="00CE2E8A"/>
    <w:rsid w:val="00E30905"/>
    <w:rsid w:val="00F12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0309"/>
  <w15:chartTrackingRefBased/>
  <w15:docId w15:val="{BA7FCD0E-3B74-4EB2-811E-0DC93C65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1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21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21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21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21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21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1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1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1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1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21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21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21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21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21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1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1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199"/>
    <w:rPr>
      <w:rFonts w:eastAsiaTheme="majorEastAsia" w:cstheme="majorBidi"/>
      <w:color w:val="272727" w:themeColor="text1" w:themeTint="D8"/>
    </w:rPr>
  </w:style>
  <w:style w:type="paragraph" w:styleId="Title">
    <w:name w:val="Title"/>
    <w:basedOn w:val="Normal"/>
    <w:next w:val="Normal"/>
    <w:link w:val="TitleChar"/>
    <w:uiPriority w:val="10"/>
    <w:qFormat/>
    <w:rsid w:val="00F121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1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1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1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199"/>
    <w:pPr>
      <w:spacing w:before="160"/>
      <w:jc w:val="center"/>
    </w:pPr>
    <w:rPr>
      <w:i/>
      <w:iCs/>
      <w:color w:val="404040" w:themeColor="text1" w:themeTint="BF"/>
    </w:rPr>
  </w:style>
  <w:style w:type="character" w:customStyle="1" w:styleId="QuoteChar">
    <w:name w:val="Quote Char"/>
    <w:basedOn w:val="DefaultParagraphFont"/>
    <w:link w:val="Quote"/>
    <w:uiPriority w:val="29"/>
    <w:rsid w:val="00F12199"/>
    <w:rPr>
      <w:i/>
      <w:iCs/>
      <w:color w:val="404040" w:themeColor="text1" w:themeTint="BF"/>
    </w:rPr>
  </w:style>
  <w:style w:type="paragraph" w:styleId="ListParagraph">
    <w:name w:val="List Paragraph"/>
    <w:basedOn w:val="Normal"/>
    <w:uiPriority w:val="34"/>
    <w:qFormat/>
    <w:rsid w:val="00F12199"/>
    <w:pPr>
      <w:ind w:left="720"/>
      <w:contextualSpacing/>
    </w:pPr>
  </w:style>
  <w:style w:type="character" w:styleId="IntenseEmphasis">
    <w:name w:val="Intense Emphasis"/>
    <w:basedOn w:val="DefaultParagraphFont"/>
    <w:uiPriority w:val="21"/>
    <w:qFormat/>
    <w:rsid w:val="00F12199"/>
    <w:rPr>
      <w:i/>
      <w:iCs/>
      <w:color w:val="0F4761" w:themeColor="accent1" w:themeShade="BF"/>
    </w:rPr>
  </w:style>
  <w:style w:type="paragraph" w:styleId="IntenseQuote">
    <w:name w:val="Intense Quote"/>
    <w:basedOn w:val="Normal"/>
    <w:next w:val="Normal"/>
    <w:link w:val="IntenseQuoteChar"/>
    <w:uiPriority w:val="30"/>
    <w:qFormat/>
    <w:rsid w:val="00F121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199"/>
    <w:rPr>
      <w:i/>
      <w:iCs/>
      <w:color w:val="0F4761" w:themeColor="accent1" w:themeShade="BF"/>
    </w:rPr>
  </w:style>
  <w:style w:type="character" w:styleId="IntenseReference">
    <w:name w:val="Intense Reference"/>
    <w:basedOn w:val="DefaultParagraphFont"/>
    <w:uiPriority w:val="32"/>
    <w:qFormat/>
    <w:rsid w:val="00F12199"/>
    <w:rPr>
      <w:b/>
      <w:bCs/>
      <w:smallCaps/>
      <w:color w:val="0F4761" w:themeColor="accent1" w:themeShade="BF"/>
      <w:spacing w:val="5"/>
    </w:rPr>
  </w:style>
  <w:style w:type="paragraph" w:styleId="NormalWeb">
    <w:name w:val="Normal (Web)"/>
    <w:basedOn w:val="Normal"/>
    <w:uiPriority w:val="99"/>
    <w:semiHidden/>
    <w:unhideWhenUsed/>
    <w:rsid w:val="00CE2E8A"/>
    <w:pPr>
      <w:spacing w:before="100" w:beforeAutospacing="1" w:after="100" w:afterAutospacing="1" w:line="240" w:lineRule="auto"/>
    </w:pPr>
    <w:rPr>
      <w:rFonts w:ascii="Aptos" w:hAnsi="Aptos" w:cs="Aptos"/>
      <w:kern w:val="0"/>
      <w14:ligatures w14:val="none"/>
    </w:rPr>
  </w:style>
  <w:style w:type="character" w:styleId="Hyperlink">
    <w:name w:val="Hyperlink"/>
    <w:basedOn w:val="DefaultParagraphFont"/>
    <w:uiPriority w:val="99"/>
    <w:unhideWhenUsed/>
    <w:rsid w:val="00CE2E8A"/>
    <w:rPr>
      <w:color w:val="467886" w:themeColor="hyperlink"/>
      <w:u w:val="single"/>
    </w:rPr>
  </w:style>
  <w:style w:type="paragraph" w:styleId="PlainText">
    <w:name w:val="Plain Text"/>
    <w:basedOn w:val="Normal"/>
    <w:link w:val="PlainTextChar"/>
    <w:uiPriority w:val="99"/>
    <w:semiHidden/>
    <w:unhideWhenUsed/>
    <w:rsid w:val="00CE2E8A"/>
    <w:pPr>
      <w:spacing w:after="0" w:line="240" w:lineRule="auto"/>
    </w:pPr>
    <w:rPr>
      <w:rFonts w:ascii="Calibri" w:eastAsia="Times New Roman" w:hAnsi="Calibri"/>
      <w:sz w:val="22"/>
      <w:szCs w:val="21"/>
    </w:rPr>
  </w:style>
  <w:style w:type="character" w:customStyle="1" w:styleId="PlainTextChar">
    <w:name w:val="Plain Text Char"/>
    <w:basedOn w:val="DefaultParagraphFont"/>
    <w:link w:val="PlainText"/>
    <w:uiPriority w:val="99"/>
    <w:semiHidden/>
    <w:rsid w:val="00CE2E8A"/>
    <w:rPr>
      <w:rFonts w:ascii="Calibri" w:eastAsia="Times New Roman"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94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ter@nationalLif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carroll@nationalLife.com" TargetMode="External"/><Relationship Id="rId12" Type="http://schemas.openxmlformats.org/officeDocument/2006/relationships/hyperlink" Target="https://urldefense.com/v3/__https:/finance.yahoo.com/news/americans-retire-comfortably-number-2025-190300583.html__;!!BeEutw6RKg!HOhPr0Kdzl3um8io_TNmiQfTpEqYc_R2kFHcCrrY5eI7RkjIJY8sxWvSulAtj81_Ffi7ZGGAFJqjcHGpG40uQ425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blake@nationalLife.com" TargetMode="External"/><Relationship Id="rId11" Type="http://schemas.openxmlformats.org/officeDocument/2006/relationships/hyperlink" Target="http://www.nationallifegroup.com/unsub" TargetMode="External"/><Relationship Id="rId5" Type="http://schemas.openxmlformats.org/officeDocument/2006/relationships/hyperlink" Target="mailto:cgeiger@nationalLife.com" TargetMode="External"/><Relationship Id="rId10" Type="http://schemas.openxmlformats.org/officeDocument/2006/relationships/image" Target="cid:image001.jpg@01DC102D.833AE500"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Geiger, Craig</dc:creator>
  <cp:keywords/>
  <dc:description/>
  <cp:lastModifiedBy>Belleville, Chris</cp:lastModifiedBy>
  <cp:revision>2</cp:revision>
  <dcterms:created xsi:type="dcterms:W3CDTF">2025-09-10T16:50:00Z</dcterms:created>
  <dcterms:modified xsi:type="dcterms:W3CDTF">2025-09-10T16:50:00Z</dcterms:modified>
</cp:coreProperties>
</file>