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73FE" w14:textId="77777777" w:rsidR="00FB2FF4" w:rsidRPr="00FB2FF4" w:rsidRDefault="00FB2FF4" w:rsidP="00FB2FF4">
      <w:pPr>
        <w:rPr>
          <w:b/>
          <w:bCs/>
        </w:rPr>
      </w:pPr>
      <w:r w:rsidRPr="00FB2FF4">
        <w:rPr>
          <w:b/>
          <w:bCs/>
        </w:rPr>
        <w:t>Headline: Live to 100!</w:t>
      </w:r>
    </w:p>
    <w:p w14:paraId="0DE2D6CE" w14:textId="77777777" w:rsidR="00FB2FF4" w:rsidRPr="00FB2FF4" w:rsidRDefault="00FB2FF4" w:rsidP="00FB2FF4">
      <w:r w:rsidRPr="00FB2FF4">
        <w:t>NLG Partner,</w:t>
      </w:r>
    </w:p>
    <w:p w14:paraId="52575628" w14:textId="77777777" w:rsidR="00FB2FF4" w:rsidRPr="00FB2FF4" w:rsidRDefault="00FB2FF4" w:rsidP="00FB2FF4">
      <w:pPr>
        <w:rPr>
          <w:i/>
          <w:iCs/>
          <w:u w:val="single"/>
        </w:rPr>
      </w:pPr>
      <w:r w:rsidRPr="00FB2FF4">
        <w:rPr>
          <w:i/>
          <w:iCs/>
          <w:u w:val="single"/>
        </w:rPr>
        <w:t>There was a recent survey that showed that less than 1/3 of the people that responded don’t want to live to the age of 100!</w:t>
      </w:r>
    </w:p>
    <w:p w14:paraId="7B9114A5" w14:textId="77777777" w:rsidR="00FB2FF4" w:rsidRPr="00FB2FF4" w:rsidRDefault="00FB2FF4" w:rsidP="00FB2FF4">
      <w:pPr>
        <w:numPr>
          <w:ilvl w:val="0"/>
          <w:numId w:val="2"/>
        </w:numPr>
        <w:contextualSpacing/>
        <w:rPr>
          <w:i/>
          <w:iCs/>
        </w:rPr>
      </w:pPr>
      <w:r w:rsidRPr="00FB2FF4">
        <w:rPr>
          <w:i/>
          <w:iCs/>
        </w:rPr>
        <w:t>More Americans are living to age 100 and by 2054 that number is going to quadruple</w:t>
      </w:r>
    </w:p>
    <w:p w14:paraId="07D1EF29" w14:textId="77777777" w:rsidR="00FB2FF4" w:rsidRPr="00FB2FF4" w:rsidRDefault="00FB2FF4" w:rsidP="00FB2FF4">
      <w:pPr>
        <w:numPr>
          <w:ilvl w:val="0"/>
          <w:numId w:val="2"/>
        </w:numPr>
        <w:contextualSpacing/>
        <w:rPr>
          <w:i/>
          <w:iCs/>
        </w:rPr>
      </w:pPr>
      <w:r w:rsidRPr="00FB2FF4">
        <w:rPr>
          <w:i/>
          <w:iCs/>
        </w:rPr>
        <w:t>Only 48% of Americans factor lifespan into their savings and investment decisions</w:t>
      </w:r>
    </w:p>
    <w:p w14:paraId="6C691B26" w14:textId="77777777" w:rsidR="00FB2FF4" w:rsidRDefault="00FB2FF4" w:rsidP="00FB2FF4">
      <w:pPr>
        <w:rPr>
          <w:b/>
          <w:bCs/>
          <w:sz w:val="28"/>
          <w:szCs w:val="28"/>
          <w:u w:val="single"/>
        </w:rPr>
      </w:pPr>
    </w:p>
    <w:p w14:paraId="1BD0BD0E" w14:textId="4024186F" w:rsidR="00FB2FF4" w:rsidRPr="00FB2FF4" w:rsidRDefault="00FB2FF4" w:rsidP="00FB2FF4">
      <w:pPr>
        <w:rPr>
          <w:b/>
          <w:bCs/>
          <w:sz w:val="28"/>
          <w:szCs w:val="28"/>
          <w:u w:val="single"/>
        </w:rPr>
      </w:pPr>
      <w:r>
        <w:rPr>
          <w:b/>
          <w:bCs/>
          <w:sz w:val="28"/>
          <w:szCs w:val="28"/>
          <w:u w:val="single"/>
        </w:rPr>
        <w:t xml:space="preserve">Life Insurance Company of the Southwest </w:t>
      </w:r>
      <w:r w:rsidRPr="00FB2FF4">
        <w:rPr>
          <w:b/>
          <w:bCs/>
          <w:sz w:val="28"/>
          <w:szCs w:val="28"/>
          <w:u w:val="single"/>
        </w:rPr>
        <w:t>Income Driver 10 Fixed Index</w:t>
      </w:r>
      <w:r w:rsidR="005F0F60">
        <w:rPr>
          <w:b/>
          <w:bCs/>
          <w:sz w:val="28"/>
          <w:szCs w:val="28"/>
          <w:u w:val="single"/>
        </w:rPr>
        <w:t>ed</w:t>
      </w:r>
      <w:r w:rsidRPr="00FB2FF4">
        <w:rPr>
          <w:b/>
          <w:bCs/>
          <w:sz w:val="28"/>
          <w:szCs w:val="28"/>
          <w:u w:val="single"/>
        </w:rPr>
        <w:t xml:space="preserve"> Annuity can help ensure that you have an Income Stream that will last to age 100 or longer!</w:t>
      </w:r>
    </w:p>
    <w:p w14:paraId="31F18EAA" w14:textId="626DA102" w:rsidR="00FB2FF4" w:rsidRDefault="00FB2FF4" w:rsidP="00FB2FF4">
      <w:pPr>
        <w:spacing w:after="0" w:line="240" w:lineRule="auto"/>
        <w:rPr>
          <w:rFonts w:cs="Aptos"/>
          <w:b/>
          <w:bCs/>
          <w:color w:val="000000"/>
          <w:kern w:val="0"/>
          <w:sz w:val="28"/>
          <w:szCs w:val="28"/>
          <w:shd w:val="clear" w:color="auto" w:fill="FFFF00"/>
          <w14:ligatures w14:val="none"/>
        </w:rPr>
      </w:pPr>
      <w:r w:rsidRPr="00FB2FF4">
        <w:rPr>
          <w:rFonts w:cs="Aptos"/>
          <w:b/>
          <w:bCs/>
          <w:color w:val="000000"/>
          <w:kern w:val="0"/>
          <w:sz w:val="28"/>
          <w:szCs w:val="28"/>
          <w:shd w:val="clear" w:color="auto" w:fill="FFFF00"/>
          <w14:ligatures w14:val="none"/>
        </w:rPr>
        <w:t xml:space="preserve">Income Driver 10 + Standard </w:t>
      </w:r>
      <w:r w:rsidR="00D32956" w:rsidRPr="00FB2FF4">
        <w:rPr>
          <w:rFonts w:cs="Aptos"/>
          <w:b/>
          <w:bCs/>
          <w:color w:val="000000"/>
          <w:kern w:val="0"/>
          <w:sz w:val="28"/>
          <w:szCs w:val="28"/>
          <w:shd w:val="clear" w:color="auto" w:fill="FFFF00"/>
          <w14:ligatures w14:val="none"/>
        </w:rPr>
        <w:t>G</w:t>
      </w:r>
      <w:r w:rsidR="00D32956">
        <w:rPr>
          <w:rFonts w:cs="Aptos"/>
          <w:b/>
          <w:bCs/>
          <w:color w:val="000000"/>
          <w:kern w:val="0"/>
          <w:sz w:val="28"/>
          <w:szCs w:val="28"/>
          <w:shd w:val="clear" w:color="auto" w:fill="FFFF00"/>
          <w14:ligatures w14:val="none"/>
        </w:rPr>
        <w:t>uaranteed</w:t>
      </w:r>
      <w:r>
        <w:rPr>
          <w:rFonts w:cs="Aptos"/>
          <w:b/>
          <w:bCs/>
          <w:color w:val="000000"/>
          <w:kern w:val="0"/>
          <w:sz w:val="28"/>
          <w:szCs w:val="28"/>
          <w:shd w:val="clear" w:color="auto" w:fill="FFFF00"/>
          <w14:ligatures w14:val="none"/>
        </w:rPr>
        <w:t xml:space="preserve"> Lifetime Income Rider (GLIR)</w:t>
      </w:r>
      <w:r w:rsidRPr="00FB2FF4">
        <w:rPr>
          <w:rFonts w:cs="Aptos"/>
          <w:b/>
          <w:bCs/>
          <w:color w:val="000000"/>
          <w:kern w:val="0"/>
          <w:sz w:val="28"/>
          <w:szCs w:val="28"/>
          <w:shd w:val="clear" w:color="auto" w:fill="FFFF00"/>
          <w14:ligatures w14:val="none"/>
        </w:rPr>
        <w:t xml:space="preserve"> Key Features:</w:t>
      </w:r>
    </w:p>
    <w:p w14:paraId="33A43577" w14:textId="54BF39E6" w:rsidR="00FB2FF4" w:rsidRDefault="00FB2FF4" w:rsidP="00FB2FF4">
      <w:pPr>
        <w:spacing w:after="0" w:line="240" w:lineRule="auto"/>
        <w:rPr>
          <w:rFonts w:cs="Aptos"/>
          <w:b/>
          <w:bCs/>
          <w:color w:val="000000"/>
          <w:kern w:val="0"/>
          <w:sz w:val="28"/>
          <w:szCs w:val="28"/>
          <w:shd w:val="clear" w:color="auto" w:fill="FFFF00"/>
          <w14:ligatures w14:val="none"/>
        </w:rPr>
      </w:pPr>
    </w:p>
    <w:p w14:paraId="43A73308" w14:textId="78C314A0" w:rsidR="00FB2FF4" w:rsidRPr="00FB2FF4" w:rsidRDefault="00FB2FF4" w:rsidP="00FB2FF4">
      <w:pPr>
        <w:pStyle w:val="ListParagraph"/>
        <w:numPr>
          <w:ilvl w:val="0"/>
          <w:numId w:val="6"/>
        </w:numPr>
        <w:spacing w:after="0" w:line="240" w:lineRule="auto"/>
        <w:rPr>
          <w:rFonts w:cs="Aptos"/>
          <w:b/>
          <w:bCs/>
          <w:color w:val="000000"/>
          <w:kern w:val="0"/>
          <w:sz w:val="28"/>
          <w:szCs w:val="28"/>
          <w:shd w:val="clear" w:color="auto" w:fill="FFFF00"/>
          <w14:ligatures w14:val="none"/>
        </w:rPr>
      </w:pPr>
      <w:r w:rsidRPr="00FB2FF4">
        <w:rPr>
          <w:rFonts w:cs="Aptos"/>
          <w:b/>
          <w:bCs/>
          <w:color w:val="000000"/>
          <w:kern w:val="0"/>
          <w:sz w:val="28"/>
          <w:szCs w:val="28"/>
          <w:shd w:val="clear" w:color="auto" w:fill="FFFF00"/>
          <w14:ligatures w14:val="none"/>
        </w:rPr>
        <w:t>25% Income Base at contract issue</w:t>
      </w:r>
      <w:r w:rsidR="005D1E7F" w:rsidRPr="005D1E7F">
        <w:rPr>
          <w:rFonts w:cs="Aptos"/>
          <w:b/>
          <w:bCs/>
          <w:color w:val="000000"/>
          <w:kern w:val="0"/>
          <w:sz w:val="16"/>
          <w:szCs w:val="16"/>
          <w:shd w:val="clear" w:color="auto" w:fill="FFFF00"/>
          <w14:ligatures w14:val="none"/>
        </w:rPr>
        <w:t>1</w:t>
      </w:r>
    </w:p>
    <w:p w14:paraId="5CB1E40B" w14:textId="30CB1CD8" w:rsidR="00FB2FF4" w:rsidRPr="00FB2FF4" w:rsidRDefault="00FB2FF4" w:rsidP="00FB2FF4">
      <w:pPr>
        <w:pStyle w:val="ListParagraph"/>
        <w:numPr>
          <w:ilvl w:val="0"/>
          <w:numId w:val="6"/>
        </w:numPr>
        <w:spacing w:after="0" w:line="240" w:lineRule="auto"/>
        <w:rPr>
          <w:rFonts w:cs="Aptos"/>
          <w:b/>
          <w:bCs/>
          <w:color w:val="000000"/>
          <w:kern w:val="0"/>
          <w:sz w:val="28"/>
          <w:szCs w:val="28"/>
          <w:shd w:val="clear" w:color="auto" w:fill="FFFF00"/>
          <w14:ligatures w14:val="none"/>
        </w:rPr>
      </w:pPr>
      <w:r w:rsidRPr="00FB2FF4">
        <w:rPr>
          <w:rFonts w:cs="Aptos"/>
          <w:b/>
          <w:bCs/>
          <w:color w:val="000000"/>
          <w:kern w:val="0"/>
          <w:sz w:val="28"/>
          <w:szCs w:val="28"/>
          <w:shd w:val="clear" w:color="auto" w:fill="FFFF00"/>
          <w14:ligatures w14:val="none"/>
        </w:rPr>
        <w:t>10% Simple Roll-up</w:t>
      </w:r>
    </w:p>
    <w:p w14:paraId="344DA853" w14:textId="036E2781" w:rsidR="00FB2FF4" w:rsidRPr="00FB2FF4" w:rsidRDefault="00FB2FF4" w:rsidP="00FB2FF4">
      <w:pPr>
        <w:pStyle w:val="ListParagraph"/>
        <w:numPr>
          <w:ilvl w:val="0"/>
          <w:numId w:val="6"/>
        </w:numPr>
        <w:spacing w:after="0" w:line="240" w:lineRule="auto"/>
        <w:rPr>
          <w:rFonts w:cs="Aptos"/>
          <w:b/>
          <w:bCs/>
          <w:color w:val="000000"/>
          <w:kern w:val="0"/>
          <w:sz w:val="28"/>
          <w:szCs w:val="28"/>
          <w:shd w:val="clear" w:color="auto" w:fill="FFFF00"/>
          <w14:ligatures w14:val="none"/>
        </w:rPr>
      </w:pPr>
      <w:r w:rsidRPr="00FB2FF4">
        <w:rPr>
          <w:rFonts w:cs="Aptos"/>
          <w:b/>
          <w:bCs/>
          <w:color w:val="000000"/>
          <w:kern w:val="0"/>
          <w:sz w:val="28"/>
          <w:szCs w:val="28"/>
          <w:shd w:val="clear" w:color="auto" w:fill="FFFF00"/>
          <w14:ligatures w14:val="none"/>
        </w:rPr>
        <w:t>Single/Joint-Level or Increasing Income</w:t>
      </w:r>
    </w:p>
    <w:p w14:paraId="56E3635E" w14:textId="1E8CA648" w:rsidR="00FB2FF4" w:rsidRPr="00FB2FF4" w:rsidRDefault="00FB2FF4" w:rsidP="00FB2FF4">
      <w:pPr>
        <w:pStyle w:val="ListParagraph"/>
        <w:numPr>
          <w:ilvl w:val="0"/>
          <w:numId w:val="6"/>
        </w:numPr>
        <w:spacing w:after="0" w:line="240" w:lineRule="auto"/>
        <w:rPr>
          <w:rFonts w:cs="Aptos"/>
          <w:kern w:val="0"/>
          <w14:ligatures w14:val="none"/>
        </w:rPr>
      </w:pPr>
      <w:r w:rsidRPr="00FB2FF4">
        <w:rPr>
          <w:rFonts w:cs="Aptos"/>
          <w:b/>
          <w:bCs/>
          <w:color w:val="000000"/>
          <w:kern w:val="0"/>
          <w:sz w:val="28"/>
          <w:szCs w:val="28"/>
          <w:shd w:val="clear" w:color="auto" w:fill="FFFF00"/>
          <w14:ligatures w14:val="none"/>
        </w:rPr>
        <w:t>Activities of Daily Living Income Doubler availabl</w:t>
      </w:r>
      <w:r w:rsidR="00B86AD3">
        <w:rPr>
          <w:rFonts w:cs="Aptos"/>
          <w:b/>
          <w:bCs/>
          <w:color w:val="000000"/>
          <w:kern w:val="0"/>
          <w:sz w:val="28"/>
          <w:szCs w:val="28"/>
          <w:shd w:val="clear" w:color="auto" w:fill="FFFF00"/>
          <w14:ligatures w14:val="none"/>
        </w:rPr>
        <w:t>e</w:t>
      </w:r>
      <w:r w:rsidRPr="00B86AD3">
        <w:rPr>
          <w:rFonts w:cs="Aptos"/>
          <w:b/>
          <w:bCs/>
          <w:color w:val="000000"/>
          <w:kern w:val="0"/>
          <w:sz w:val="16"/>
          <w:szCs w:val="16"/>
          <w:shd w:val="clear" w:color="auto" w:fill="FFFF00"/>
          <w14:ligatures w14:val="none"/>
        </w:rPr>
        <w:t xml:space="preserve"> </w:t>
      </w:r>
      <w:r w:rsidR="00B86AD3" w:rsidRPr="00B86AD3">
        <w:rPr>
          <w:rFonts w:cs="Aptos"/>
          <w:b/>
          <w:bCs/>
          <w:color w:val="000000"/>
          <w:kern w:val="0"/>
          <w:sz w:val="16"/>
          <w:szCs w:val="16"/>
          <w:shd w:val="clear" w:color="auto" w:fill="FFFF00"/>
          <w14:ligatures w14:val="none"/>
        </w:rPr>
        <w:t>2</w:t>
      </w:r>
    </w:p>
    <w:p w14:paraId="21ED18FA" w14:textId="77777777" w:rsidR="00FB2FF4" w:rsidRPr="00FB2FF4" w:rsidRDefault="00FB2FF4" w:rsidP="00FB2FF4">
      <w:pPr>
        <w:spacing w:after="0" w:line="240" w:lineRule="auto"/>
        <w:rPr>
          <w:rFonts w:cs="Aptos"/>
          <w:kern w:val="0"/>
          <w14:ligatures w14:val="none"/>
        </w:rPr>
      </w:pPr>
    </w:p>
    <w:p w14:paraId="1FE3F70E" w14:textId="77777777" w:rsidR="00FB2FF4" w:rsidRPr="00FB2FF4" w:rsidRDefault="00FB2FF4" w:rsidP="00FB2FF4">
      <w:pPr>
        <w:spacing w:after="0" w:line="240" w:lineRule="auto"/>
        <w:rPr>
          <w:rFonts w:cs="Segoe UI"/>
          <w:color w:val="000000"/>
          <w:kern w:val="0"/>
          <w14:ligatures w14:val="none"/>
        </w:rPr>
      </w:pPr>
      <w:r w:rsidRPr="00FB2FF4">
        <w:rPr>
          <w:rFonts w:cs="Segoe UI"/>
          <w:color w:val="000000"/>
          <w:kern w:val="0"/>
          <w14:ligatures w14:val="none"/>
        </w:rPr>
        <w:t>Want to learn more about how Income Driver can be a great income solution? Reach out to me today, and we can walk through this solution for your next case!</w:t>
      </w:r>
    </w:p>
    <w:p w14:paraId="07898B76" w14:textId="77777777" w:rsidR="00FB2FF4" w:rsidRPr="00FB2FF4" w:rsidRDefault="00FB2FF4" w:rsidP="00FB2FF4">
      <w:pPr>
        <w:spacing w:after="0" w:line="240" w:lineRule="auto"/>
        <w:rPr>
          <w:rFonts w:cs="Segoe UI"/>
          <w:color w:val="000000"/>
          <w:kern w:val="0"/>
          <w14:ligatures w14:val="none"/>
        </w:rPr>
      </w:pPr>
    </w:p>
    <w:p w14:paraId="42B7EA42" w14:textId="77777777" w:rsidR="00FB2FF4" w:rsidRPr="00FB2FF4" w:rsidRDefault="00FB2FF4" w:rsidP="00FB2FF4">
      <w:pPr>
        <w:spacing w:after="0" w:line="240" w:lineRule="auto"/>
        <w:rPr>
          <w:rFonts w:cs="Aptos"/>
          <w:kern w:val="0"/>
          <w14:ligatures w14:val="none"/>
        </w:rPr>
      </w:pPr>
      <w:r w:rsidRPr="00FB2FF4">
        <w:rPr>
          <w:rFonts w:cs="Segoe UI"/>
          <w:color w:val="000000"/>
          <w:kern w:val="0"/>
          <w14:ligatures w14:val="none"/>
        </w:rPr>
        <w:t>Good Selling,</w:t>
      </w:r>
    </w:p>
    <w:p w14:paraId="24A2CF41" w14:textId="77777777" w:rsidR="00FB2FF4" w:rsidRDefault="00FB2FF4" w:rsidP="00FB2FF4"/>
    <w:p w14:paraId="4B0CA716" w14:textId="45A60AC0" w:rsidR="00FB2FF4" w:rsidRDefault="00FB2FF4" w:rsidP="00FB2FF4">
      <w:r w:rsidRPr="00F340C4">
        <w:rPr>
          <w:noProof/>
          <w:sz w:val="22"/>
          <w:szCs w:val="22"/>
        </w:rPr>
        <w:drawing>
          <wp:inline distT="0" distB="0" distL="0" distR="0" wp14:anchorId="059CF2FE" wp14:editId="7122A80D">
            <wp:extent cx="2172335" cy="866775"/>
            <wp:effectExtent l="0" t="0" r="18415" b="9525"/>
            <wp:docPr id="1139969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72335" cy="866775"/>
                    </a:xfrm>
                    <a:prstGeom prst="rect">
                      <a:avLst/>
                    </a:prstGeom>
                    <a:noFill/>
                    <a:ln>
                      <a:noFill/>
                    </a:ln>
                  </pic:spPr>
                </pic:pic>
              </a:graphicData>
            </a:graphic>
          </wp:inline>
        </w:drawing>
      </w:r>
    </w:p>
    <w:p w14:paraId="2ADD4FE6" w14:textId="77777777" w:rsidR="00FB2FF4" w:rsidRPr="00F340C4" w:rsidRDefault="00FB2FF4" w:rsidP="00FB2FF4">
      <w:pPr>
        <w:spacing w:before="100" w:beforeAutospacing="1" w:after="100" w:afterAutospacing="1"/>
        <w:rPr>
          <w:rFonts w:ascii="Aptos" w:hAnsi="Aptos" w:cs="Aptos"/>
          <w:sz w:val="22"/>
          <w:szCs w:val="22"/>
        </w:rPr>
      </w:pPr>
      <w:r w:rsidRPr="00F340C4">
        <w:rPr>
          <w:rFonts w:ascii="Arial" w:hAnsi="Arial" w:cs="Arial"/>
          <w:color w:val="808080"/>
          <w:sz w:val="18"/>
          <w:szCs w:val="18"/>
        </w:rPr>
        <w:t>One National Life Drive, Montpelier, Vermont 05604</w:t>
      </w:r>
      <w:r w:rsidRPr="00F340C4">
        <w:rPr>
          <w:rFonts w:ascii="Arial" w:hAnsi="Arial" w:cs="Arial"/>
          <w:color w:val="808080"/>
          <w:sz w:val="18"/>
          <w:szCs w:val="18"/>
        </w:rPr>
        <w:br/>
      </w:r>
      <w:r w:rsidRPr="00F340C4">
        <w:rPr>
          <w:rFonts w:ascii="Arial" w:hAnsi="Arial" w:cs="Arial"/>
          <w:b/>
          <w:bCs/>
          <w:color w:val="808080"/>
          <w:sz w:val="18"/>
          <w:szCs w:val="18"/>
        </w:rPr>
        <w:t>Direct: 312-965-4542</w:t>
      </w:r>
      <w:r w:rsidRPr="00F340C4">
        <w:rPr>
          <w:rFonts w:ascii="Arial" w:hAnsi="Arial" w:cs="Arial"/>
          <w:color w:val="808080"/>
          <w:sz w:val="18"/>
          <w:szCs w:val="18"/>
        </w:rPr>
        <w:t xml:space="preserve">| </w:t>
      </w:r>
      <w:hyperlink r:id="rId7" w:history="1">
        <w:r w:rsidRPr="00F340C4">
          <w:rPr>
            <w:rFonts w:ascii="Arial" w:hAnsi="Arial" w:cs="Arial"/>
            <w:color w:val="467886" w:themeColor="hyperlink"/>
            <w:sz w:val="18"/>
            <w:szCs w:val="18"/>
            <w:u w:val="single"/>
          </w:rPr>
          <w:t>cgeiger@nationallife.com</w:t>
        </w:r>
      </w:hyperlink>
      <w:r w:rsidRPr="00F340C4">
        <w:rPr>
          <w:rFonts w:ascii="Arial" w:hAnsi="Arial" w:cs="Arial"/>
          <w:color w:val="808080"/>
          <w:sz w:val="18"/>
          <w:szCs w:val="18"/>
        </w:rPr>
        <w:t xml:space="preserve">| </w:t>
      </w:r>
      <w:hyperlink r:id="rId8" w:history="1">
        <w:r w:rsidRPr="00F340C4">
          <w:rPr>
            <w:rFonts w:ascii="Arial" w:hAnsi="Arial" w:cs="Arial"/>
            <w:color w:val="92D050"/>
            <w:sz w:val="18"/>
            <w:szCs w:val="18"/>
            <w:u w:val="single"/>
          </w:rPr>
          <w:t>www.NationalLife.com</w:t>
        </w:r>
      </w:hyperlink>
    </w:p>
    <w:p w14:paraId="074F0239" w14:textId="77777777" w:rsidR="00FB2FF4" w:rsidRDefault="00FB2FF4" w:rsidP="00FB2FF4">
      <w:pPr>
        <w:rPr>
          <w:rFonts w:ascii="Arial" w:hAnsi="Arial" w:cs="Arial"/>
          <w:color w:val="5CA545"/>
          <w:sz w:val="18"/>
          <w:szCs w:val="18"/>
        </w:rPr>
      </w:pPr>
      <w:r w:rsidRPr="00F340C4">
        <w:rPr>
          <w:rFonts w:ascii="Arial" w:hAnsi="Arial" w:cs="Arial"/>
          <w:color w:val="5CA545"/>
          <w:sz w:val="18"/>
          <w:szCs w:val="18"/>
        </w:rPr>
        <w:t>Print Responsibly</w:t>
      </w:r>
    </w:p>
    <w:p w14:paraId="22B0AE2C" w14:textId="5F88F435" w:rsidR="004A26FF" w:rsidRPr="00F340C4" w:rsidRDefault="004A26FF" w:rsidP="00FB2FF4">
      <w:pPr>
        <w:rPr>
          <w:rFonts w:ascii="Calibri" w:hAnsi="Calibri" w:cs="Calibri"/>
          <w:sz w:val="22"/>
          <w:szCs w:val="22"/>
        </w:rPr>
      </w:pPr>
      <w:r>
        <w:rPr>
          <w:rFonts w:ascii="Arial" w:hAnsi="Arial" w:cs="Arial"/>
          <w:color w:val="000000"/>
          <w:sz w:val="16"/>
          <w:szCs w:val="16"/>
        </w:rPr>
        <w:t>National Life Group® is a trade name of National Life Insurance Company, Montpelier, VT, Life Insurance Company of the Southwest (LSW), Addison, TX, and their affiliates. Each company of National Life Group® is solely responsible for its own financial</w:t>
      </w:r>
    </w:p>
    <w:p w14:paraId="414A47AB" w14:textId="77777777" w:rsidR="007A1435" w:rsidRDefault="007A1435" w:rsidP="00FB2FF4">
      <w:pPr>
        <w:spacing w:before="100" w:beforeAutospacing="1" w:after="100" w:afterAutospacing="1" w:line="240" w:lineRule="auto"/>
        <w:rPr>
          <w:rFonts w:ascii="Times New Roman" w:hAnsi="Times New Roman" w:cs="Times New Roman"/>
          <w:color w:val="000000"/>
          <w:kern w:val="0"/>
          <w:sz w:val="16"/>
          <w:szCs w:val="16"/>
          <w14:ligatures w14:val="none"/>
        </w:rPr>
      </w:pPr>
    </w:p>
    <w:p w14:paraId="7D150C1C" w14:textId="3E0E2FBD" w:rsidR="00FB2FF4" w:rsidRPr="00F340C4" w:rsidRDefault="00FB2FF4" w:rsidP="00FB2FF4">
      <w:pPr>
        <w:spacing w:before="100" w:beforeAutospacing="1" w:after="100" w:afterAutospacing="1" w:line="240" w:lineRule="auto"/>
        <w:rPr>
          <w:rFonts w:ascii="Times New Roman" w:hAnsi="Times New Roman" w:cs="Times New Roman"/>
          <w:color w:val="000000"/>
          <w:kern w:val="0"/>
          <w:sz w:val="16"/>
          <w:szCs w:val="16"/>
          <w14:ligatures w14:val="none"/>
        </w:rPr>
      </w:pPr>
      <w:r w:rsidRPr="00F340C4">
        <w:rPr>
          <w:rFonts w:ascii="Times New Roman" w:hAnsi="Times New Roman" w:cs="Times New Roman"/>
          <w:color w:val="000000"/>
          <w:kern w:val="0"/>
          <w:sz w:val="16"/>
          <w:szCs w:val="16"/>
          <w14:ligatures w14:val="none"/>
        </w:rPr>
        <w:lastRenderedPageBreak/>
        <w:t>Products Issued by:</w:t>
      </w:r>
    </w:p>
    <w:p w14:paraId="2B7E9259" w14:textId="77777777" w:rsidR="00FB2FF4" w:rsidRPr="00F340C4" w:rsidRDefault="00FB2FF4" w:rsidP="00FB2FF4">
      <w:pPr>
        <w:spacing w:before="100" w:beforeAutospacing="1" w:after="100" w:afterAutospacing="1" w:line="240" w:lineRule="auto"/>
        <w:rPr>
          <w:rFonts w:ascii="Times New Roman" w:hAnsi="Times New Roman" w:cs="Times New Roman"/>
          <w:color w:val="000000"/>
          <w:kern w:val="0"/>
          <w:sz w:val="16"/>
          <w:szCs w:val="16"/>
          <w14:ligatures w14:val="none"/>
        </w:rPr>
      </w:pPr>
      <w:r w:rsidRPr="00F340C4">
        <w:rPr>
          <w:rFonts w:ascii="Times New Roman" w:hAnsi="Times New Roman" w:cs="Times New Roman"/>
          <w:color w:val="000000"/>
          <w:kern w:val="0"/>
          <w:sz w:val="16"/>
          <w:szCs w:val="16"/>
          <w14:ligatures w14:val="none"/>
        </w:rPr>
        <w:t>Life Insurance Company of the Southwest®</w:t>
      </w:r>
    </w:p>
    <w:p w14:paraId="31C123B2" w14:textId="77777777" w:rsidR="00FB2FF4" w:rsidRDefault="00FB2FF4" w:rsidP="00FB2FF4">
      <w:pPr>
        <w:spacing w:before="100" w:beforeAutospacing="1" w:after="100" w:afterAutospacing="1" w:line="240" w:lineRule="auto"/>
        <w:rPr>
          <w:rFonts w:ascii="Times New Roman" w:hAnsi="Times New Roman" w:cs="Times New Roman"/>
          <w:color w:val="000000"/>
          <w:kern w:val="0"/>
          <w:sz w:val="16"/>
          <w:szCs w:val="16"/>
          <w14:ligatures w14:val="none"/>
        </w:rPr>
      </w:pPr>
      <w:r w:rsidRPr="00F340C4">
        <w:rPr>
          <w:rFonts w:ascii="Times New Roman" w:hAnsi="Times New Roman" w:cs="Times New Roman"/>
          <w:color w:val="000000"/>
          <w:kern w:val="0"/>
          <w:sz w:val="16"/>
          <w:szCs w:val="16"/>
          <w14:ligatures w14:val="none"/>
        </w:rPr>
        <w:t>National Life Group® is a trade name of National Life Insurance Company, Montpelier, VT, Life Insurance Company of the Southwest (LSW), Addison, TX and their affiliates. Each company of National Life Group is solely responsible for its own financial condition and contractual obligations. LSW is not an authorized insurer in New York and does not conduct insurance business in New York.</w:t>
      </w:r>
    </w:p>
    <w:p w14:paraId="6579C525" w14:textId="3CDDEE12" w:rsidR="005D1E7F" w:rsidRPr="00F340C4" w:rsidRDefault="005D1E7F" w:rsidP="00FB2FF4">
      <w:pPr>
        <w:spacing w:before="100" w:beforeAutospacing="1" w:after="100" w:afterAutospacing="1" w:line="240" w:lineRule="auto"/>
        <w:rPr>
          <w:rFonts w:ascii="Times New Roman" w:hAnsi="Times New Roman" w:cs="Times New Roman"/>
          <w:color w:val="000000"/>
          <w:kern w:val="0"/>
          <w:sz w:val="16"/>
          <w:szCs w:val="16"/>
          <w14:ligatures w14:val="none"/>
        </w:rPr>
      </w:pPr>
      <w:r w:rsidRPr="005D1E7F">
        <w:rPr>
          <w:rFonts w:ascii="Times New Roman" w:hAnsi="Times New Roman" w:cs="Times New Roman"/>
          <w:color w:val="000000"/>
          <w:kern w:val="0"/>
          <w:sz w:val="16"/>
          <w:szCs w:val="16"/>
          <w14:ligatures w14:val="none"/>
        </w:rPr>
        <w:t xml:space="preserve">FOR </w:t>
      </w:r>
      <w:r w:rsidR="00372736">
        <w:rPr>
          <w:rFonts w:ascii="Times New Roman" w:hAnsi="Times New Roman" w:cs="Times New Roman"/>
          <w:color w:val="000000"/>
          <w:kern w:val="0"/>
          <w:sz w:val="16"/>
          <w:szCs w:val="16"/>
          <w14:ligatures w14:val="none"/>
        </w:rPr>
        <w:t xml:space="preserve">RECRUITING </w:t>
      </w:r>
      <w:r w:rsidR="00751420">
        <w:rPr>
          <w:rFonts w:ascii="Times New Roman" w:hAnsi="Times New Roman" w:cs="Times New Roman"/>
          <w:color w:val="000000"/>
          <w:kern w:val="0"/>
          <w:sz w:val="16"/>
          <w:szCs w:val="16"/>
          <w14:ligatures w14:val="none"/>
        </w:rPr>
        <w:t xml:space="preserve">and for </w:t>
      </w:r>
      <w:r w:rsidRPr="005D1E7F">
        <w:rPr>
          <w:rFonts w:ascii="Times New Roman" w:hAnsi="Times New Roman" w:cs="Times New Roman"/>
          <w:color w:val="000000"/>
          <w:kern w:val="0"/>
          <w:sz w:val="16"/>
          <w:szCs w:val="16"/>
          <w14:ligatures w14:val="none"/>
        </w:rPr>
        <w:t>FINANCIAL PROFESSIONAL USE ONLY - NOT FOR USE WITH THE PUBLIC</w:t>
      </w:r>
    </w:p>
    <w:p w14:paraId="59832274" w14:textId="77777777" w:rsidR="00FB2FF4" w:rsidRPr="00F340C4" w:rsidRDefault="00FB2FF4" w:rsidP="00FB2FF4">
      <w:pPr>
        <w:spacing w:before="100" w:beforeAutospacing="1" w:after="100" w:afterAutospacing="1" w:line="240" w:lineRule="auto"/>
        <w:rPr>
          <w:rFonts w:ascii="Times New Roman" w:hAnsi="Times New Roman" w:cs="Times New Roman"/>
          <w:color w:val="000000"/>
          <w:kern w:val="0"/>
          <w:sz w:val="16"/>
          <w:szCs w:val="16"/>
          <w14:ligatures w14:val="none"/>
        </w:rPr>
      </w:pPr>
      <w:r w:rsidRPr="00F340C4">
        <w:rPr>
          <w:rFonts w:ascii="Times New Roman" w:hAnsi="Times New Roman" w:cs="Times New Roman"/>
          <w:color w:val="000000"/>
          <w:kern w:val="0"/>
          <w:sz w:val="16"/>
          <w:szCs w:val="16"/>
          <w14:ligatures w14:val="none"/>
        </w:rPr>
        <w:t>This is an advertisement. To be removed from future mailings, please enter your email address here: </w:t>
      </w:r>
    </w:p>
    <w:p w14:paraId="7936E92D" w14:textId="0DF730CF" w:rsidR="00FB2FF4" w:rsidRPr="00FB2FF4" w:rsidRDefault="00FB2FF4" w:rsidP="00FB2FF4">
      <w:pPr>
        <w:spacing w:before="100" w:beforeAutospacing="1" w:after="100" w:afterAutospacing="1" w:line="240" w:lineRule="auto"/>
        <w:rPr>
          <w:rFonts w:ascii="Times New Roman" w:hAnsi="Times New Roman" w:cs="Times New Roman"/>
          <w:color w:val="000000"/>
          <w:kern w:val="0"/>
          <w:sz w:val="16"/>
          <w:szCs w:val="16"/>
          <w14:ligatures w14:val="none"/>
        </w:rPr>
      </w:pPr>
      <w:hyperlink r:id="rId9" w:history="1">
        <w:r w:rsidRPr="00F340C4">
          <w:rPr>
            <w:rFonts w:ascii="Times New Roman" w:hAnsi="Times New Roman" w:cs="Times New Roman"/>
            <w:color w:val="467886" w:themeColor="hyperlink"/>
            <w:kern w:val="0"/>
            <w:sz w:val="16"/>
            <w:szCs w:val="16"/>
            <w:u w:val="single"/>
            <w14:ligatures w14:val="none"/>
          </w:rPr>
          <w:t>www.nationallife.com/unsub</w:t>
        </w:r>
      </w:hyperlink>
    </w:p>
    <w:p w14:paraId="732D828D" w14:textId="3DCC1C48" w:rsidR="005D1E7F" w:rsidRDefault="005D1E7F" w:rsidP="005D1E7F">
      <w:pPr>
        <w:spacing w:after="0" w:line="240" w:lineRule="auto"/>
        <w:rPr>
          <w:rFonts w:ascii="Calibri" w:eastAsia="Times New Roman" w:hAnsi="Calibri"/>
          <w:sz w:val="16"/>
          <w:szCs w:val="16"/>
        </w:rPr>
      </w:pPr>
      <w:r>
        <w:rPr>
          <w:rFonts w:ascii="Calibri" w:eastAsia="Times New Roman" w:hAnsi="Calibri"/>
          <w:sz w:val="16"/>
          <w:szCs w:val="16"/>
        </w:rPr>
        <w:t>“Money worries mean most American’s don’t want to live to 100” Jonthan Manganaro, Think Advisor. 5/12/25</w:t>
      </w:r>
    </w:p>
    <w:p w14:paraId="02C6A04A" w14:textId="44C52A4D" w:rsidR="00FB2FF4" w:rsidRDefault="00FB2FF4" w:rsidP="005D1E7F">
      <w:pPr>
        <w:spacing w:after="0" w:line="240" w:lineRule="auto"/>
        <w:rPr>
          <w:rFonts w:ascii="Calibri" w:eastAsia="Times New Roman" w:hAnsi="Calibri"/>
          <w:sz w:val="16"/>
          <w:szCs w:val="16"/>
        </w:rPr>
      </w:pPr>
      <w:r w:rsidRPr="00FB2FF4">
        <w:rPr>
          <w:rFonts w:ascii="Calibri" w:eastAsia="Times New Roman" w:hAnsi="Calibri"/>
          <w:sz w:val="16"/>
          <w:szCs w:val="16"/>
        </w:rPr>
        <w:t xml:space="preserve"> </w:t>
      </w:r>
      <w:hyperlink r:id="rId10" w:history="1">
        <w:r w:rsidRPr="00FB2FF4">
          <w:rPr>
            <w:rFonts w:ascii="Calibri" w:eastAsiaTheme="majorEastAsia" w:hAnsi="Calibri"/>
            <w:color w:val="467886" w:themeColor="hyperlink"/>
            <w:sz w:val="16"/>
            <w:szCs w:val="16"/>
            <w:u w:val="single"/>
          </w:rPr>
          <w:t>https://urldefense.com/v3/__https://www.thinkadvisor.com/2025/05/12/money-worries-mean-most-americans-dont-want-to-live-to-100/__;!!BeEutw6RKg!H09YYo2Lps2rT1Jp0kr5hPRmlrng7OoWdqEuyjIH1ZjZWeSjaqlZV1HS8MYUcXzr4Gf4MTih-2JMHD_bpyvFCXt9xoA$</w:t>
        </w:r>
      </w:hyperlink>
    </w:p>
    <w:p w14:paraId="3A5FB87E" w14:textId="77777777" w:rsidR="005D1E7F" w:rsidRPr="005D1E7F" w:rsidRDefault="005D1E7F" w:rsidP="005D1E7F">
      <w:pPr>
        <w:spacing w:after="0" w:line="240" w:lineRule="auto"/>
        <w:rPr>
          <w:rFonts w:ascii="Calibri" w:eastAsia="Times New Roman" w:hAnsi="Calibri"/>
          <w:sz w:val="16"/>
          <w:szCs w:val="16"/>
        </w:rPr>
      </w:pPr>
    </w:p>
    <w:p w14:paraId="031425EC" w14:textId="520B0DD1" w:rsidR="00FB2FF4" w:rsidRPr="000A26D0" w:rsidRDefault="00FB2FF4" w:rsidP="000A26D0">
      <w:pPr>
        <w:pStyle w:val="ListParagraph"/>
        <w:numPr>
          <w:ilvl w:val="0"/>
          <w:numId w:val="7"/>
        </w:numPr>
        <w:rPr>
          <w:sz w:val="16"/>
          <w:szCs w:val="16"/>
        </w:rPr>
      </w:pPr>
      <w:r w:rsidRPr="000A26D0">
        <w:rPr>
          <w:sz w:val="16"/>
          <w:szCs w:val="16"/>
        </w:rPr>
        <w:t>Withdrawals made prior to age 59½ may be subject to</w:t>
      </w:r>
      <w:r w:rsidR="0010255B" w:rsidRPr="000A26D0">
        <w:rPr>
          <w:sz w:val="16"/>
          <w:szCs w:val="16"/>
        </w:rPr>
        <w:t xml:space="preserve"> </w:t>
      </w:r>
      <w:r w:rsidRPr="000A26D0">
        <w:rPr>
          <w:sz w:val="16"/>
          <w:szCs w:val="16"/>
        </w:rPr>
        <w:t>a 10% Federal Tax Penalty. You will still incur a bonus recapture charge, based on how long they’ve had the annuity and how much they withdraw.</w:t>
      </w:r>
    </w:p>
    <w:p w14:paraId="2269DB34" w14:textId="47222B49" w:rsidR="000A26D0" w:rsidRPr="000A26D0" w:rsidRDefault="000A26D0" w:rsidP="000A26D0">
      <w:pPr>
        <w:pStyle w:val="ListParagraph"/>
        <w:numPr>
          <w:ilvl w:val="0"/>
          <w:numId w:val="7"/>
        </w:numPr>
        <w:rPr>
          <w:sz w:val="16"/>
          <w:szCs w:val="16"/>
        </w:rPr>
      </w:pPr>
      <w:r w:rsidRPr="000A26D0">
        <w:rPr>
          <w:sz w:val="16"/>
          <w:szCs w:val="16"/>
        </w:rPr>
        <w:t>To qualify for the Income Doubler, the annuitant must be unable to perform two of the six Activities of Daily Living permanently.</w:t>
      </w:r>
    </w:p>
    <w:p w14:paraId="00B1A903" w14:textId="5CCA2420" w:rsidR="007668F2" w:rsidRDefault="007668F2" w:rsidP="0010255B">
      <w:pPr>
        <w:rPr>
          <w:sz w:val="16"/>
          <w:szCs w:val="16"/>
        </w:rPr>
      </w:pPr>
      <w:r w:rsidRPr="007668F2">
        <w:rPr>
          <w:sz w:val="16"/>
          <w:szCs w:val="16"/>
        </w:rPr>
        <w:t>The Standard GLIR has a charge of 1% of the benefit base, deducted from the accumulated value annually.</w:t>
      </w:r>
    </w:p>
    <w:p w14:paraId="162D2E1D" w14:textId="78D142E3" w:rsidR="00E02548" w:rsidRDefault="00E02548" w:rsidP="0010255B">
      <w:pPr>
        <w:rPr>
          <w:sz w:val="16"/>
          <w:szCs w:val="16"/>
        </w:rPr>
      </w:pPr>
      <w:r w:rsidRPr="00E02548">
        <w:rPr>
          <w:sz w:val="16"/>
          <w:szCs w:val="16"/>
        </w:rPr>
        <w:t>To qualify for the Income Doubler, the annuitant must be unable to perform two of the six Activities of Daily Living permanently.</w:t>
      </w:r>
    </w:p>
    <w:p w14:paraId="2B9225EE" w14:textId="60A6F92A" w:rsidR="0010255B" w:rsidRDefault="00FB2FF4" w:rsidP="0010255B">
      <w:pPr>
        <w:rPr>
          <w:sz w:val="16"/>
          <w:szCs w:val="16"/>
        </w:rPr>
      </w:pPr>
      <w:r w:rsidRPr="00FB2FF4">
        <w:rPr>
          <w:sz w:val="16"/>
          <w:szCs w:val="16"/>
        </w:rPr>
        <w:t>Guaranteed Lifetime Income Riders (GLIRs) are only available to purchase on Life Insurance Company of the Southwest (LSW) fixed indexed annuities. Riders are an optional benefit for which premium is charged, are available at issue only, and may not be available in all states.</w:t>
      </w:r>
    </w:p>
    <w:p w14:paraId="14D3424C" w14:textId="430B824A" w:rsidR="00FB2FF4" w:rsidRPr="00FB2FF4" w:rsidRDefault="00FB2FF4" w:rsidP="0010255B">
      <w:pPr>
        <w:rPr>
          <w:sz w:val="16"/>
          <w:szCs w:val="16"/>
        </w:rPr>
      </w:pPr>
      <w:r w:rsidRPr="00FB2FF4">
        <w:rPr>
          <w:sz w:val="16"/>
          <w:szCs w:val="16"/>
        </w:rPr>
        <w:t xml:space="preserve"> TC8091695(0625)1</w:t>
      </w:r>
    </w:p>
    <w:p w14:paraId="4808CDFD" w14:textId="77777777" w:rsidR="00FB2FF4" w:rsidRDefault="00FB2FF4"/>
    <w:sectPr w:rsidR="00FB2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6A12"/>
    <w:multiLevelType w:val="hybridMultilevel"/>
    <w:tmpl w:val="7E64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86368"/>
    <w:multiLevelType w:val="hybridMultilevel"/>
    <w:tmpl w:val="D652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31060"/>
    <w:multiLevelType w:val="hybridMultilevel"/>
    <w:tmpl w:val="EB50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F0290"/>
    <w:multiLevelType w:val="hybridMultilevel"/>
    <w:tmpl w:val="EE76C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D49DE"/>
    <w:multiLevelType w:val="hybridMultilevel"/>
    <w:tmpl w:val="13120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E311D"/>
    <w:multiLevelType w:val="multilevel"/>
    <w:tmpl w:val="E4AA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149D7"/>
    <w:multiLevelType w:val="hybridMultilevel"/>
    <w:tmpl w:val="2584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79489">
    <w:abstractNumId w:val="5"/>
  </w:num>
  <w:num w:numId="2" w16cid:durableId="1937130271">
    <w:abstractNumId w:val="2"/>
  </w:num>
  <w:num w:numId="3" w16cid:durableId="2113743410">
    <w:abstractNumId w:val="6"/>
  </w:num>
  <w:num w:numId="4" w16cid:durableId="854153571">
    <w:abstractNumId w:val="4"/>
  </w:num>
  <w:num w:numId="5" w16cid:durableId="1334259860">
    <w:abstractNumId w:val="3"/>
  </w:num>
  <w:num w:numId="6" w16cid:durableId="496310314">
    <w:abstractNumId w:val="1"/>
  </w:num>
  <w:num w:numId="7" w16cid:durableId="165807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F4"/>
    <w:rsid w:val="000A26D0"/>
    <w:rsid w:val="000F25CB"/>
    <w:rsid w:val="0010255B"/>
    <w:rsid w:val="001C7268"/>
    <w:rsid w:val="00372736"/>
    <w:rsid w:val="004A26FF"/>
    <w:rsid w:val="005A0DA2"/>
    <w:rsid w:val="005D1E7F"/>
    <w:rsid w:val="005D7483"/>
    <w:rsid w:val="005F0F60"/>
    <w:rsid w:val="00751420"/>
    <w:rsid w:val="007668F2"/>
    <w:rsid w:val="007A1435"/>
    <w:rsid w:val="00AA6C65"/>
    <w:rsid w:val="00B86AD3"/>
    <w:rsid w:val="00BC2D90"/>
    <w:rsid w:val="00D32956"/>
    <w:rsid w:val="00DD1D49"/>
    <w:rsid w:val="00E02548"/>
    <w:rsid w:val="00E30905"/>
    <w:rsid w:val="00FB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33E"/>
  <w15:chartTrackingRefBased/>
  <w15:docId w15:val="{D2E83B9C-8B92-4E7A-80B0-2524F90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FF4"/>
    <w:rPr>
      <w:rFonts w:eastAsiaTheme="majorEastAsia" w:cstheme="majorBidi"/>
      <w:color w:val="272727" w:themeColor="text1" w:themeTint="D8"/>
    </w:rPr>
  </w:style>
  <w:style w:type="paragraph" w:styleId="Title">
    <w:name w:val="Title"/>
    <w:basedOn w:val="Normal"/>
    <w:next w:val="Normal"/>
    <w:link w:val="TitleChar"/>
    <w:uiPriority w:val="10"/>
    <w:qFormat/>
    <w:rsid w:val="00FB2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FF4"/>
    <w:pPr>
      <w:spacing w:before="160"/>
      <w:jc w:val="center"/>
    </w:pPr>
    <w:rPr>
      <w:i/>
      <w:iCs/>
      <w:color w:val="404040" w:themeColor="text1" w:themeTint="BF"/>
    </w:rPr>
  </w:style>
  <w:style w:type="character" w:customStyle="1" w:styleId="QuoteChar">
    <w:name w:val="Quote Char"/>
    <w:basedOn w:val="DefaultParagraphFont"/>
    <w:link w:val="Quote"/>
    <w:uiPriority w:val="29"/>
    <w:rsid w:val="00FB2FF4"/>
    <w:rPr>
      <w:i/>
      <w:iCs/>
      <w:color w:val="404040" w:themeColor="text1" w:themeTint="BF"/>
    </w:rPr>
  </w:style>
  <w:style w:type="paragraph" w:styleId="ListParagraph">
    <w:name w:val="List Paragraph"/>
    <w:basedOn w:val="Normal"/>
    <w:uiPriority w:val="34"/>
    <w:qFormat/>
    <w:rsid w:val="00FB2FF4"/>
    <w:pPr>
      <w:ind w:left="720"/>
      <w:contextualSpacing/>
    </w:pPr>
  </w:style>
  <w:style w:type="character" w:styleId="IntenseEmphasis">
    <w:name w:val="Intense Emphasis"/>
    <w:basedOn w:val="DefaultParagraphFont"/>
    <w:uiPriority w:val="21"/>
    <w:qFormat/>
    <w:rsid w:val="00FB2FF4"/>
    <w:rPr>
      <w:i/>
      <w:iCs/>
      <w:color w:val="0F4761" w:themeColor="accent1" w:themeShade="BF"/>
    </w:rPr>
  </w:style>
  <w:style w:type="paragraph" w:styleId="IntenseQuote">
    <w:name w:val="Intense Quote"/>
    <w:basedOn w:val="Normal"/>
    <w:next w:val="Normal"/>
    <w:link w:val="IntenseQuoteChar"/>
    <w:uiPriority w:val="30"/>
    <w:qFormat/>
    <w:rsid w:val="00FB2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FF4"/>
    <w:rPr>
      <w:i/>
      <w:iCs/>
      <w:color w:val="0F4761" w:themeColor="accent1" w:themeShade="BF"/>
    </w:rPr>
  </w:style>
  <w:style w:type="character" w:styleId="IntenseReference">
    <w:name w:val="Intense Reference"/>
    <w:basedOn w:val="DefaultParagraphFont"/>
    <w:uiPriority w:val="32"/>
    <w:qFormat/>
    <w:rsid w:val="00FB2F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life.com/" TargetMode="External"/><Relationship Id="rId3" Type="http://schemas.openxmlformats.org/officeDocument/2006/relationships/settings" Target="settings.xml"/><Relationship Id="rId7" Type="http://schemas.openxmlformats.org/officeDocument/2006/relationships/hyperlink" Target="mailto:cgeiger@nationallif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C0DDE.3753777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urldefense.com/v3/__https:/www.thinkadvisor.com/2025/05/12/money-worries-mean-most-americans-dont-want-to-live-to-100/__;!!BeEutw6RKg!H09YYo2Lps2rT1Jp0kr5hPRmlrng7OoWdqEuyjIH1ZjZWeSjaqlZV1HS8MYUcXzr4Gf4MTih-2JMHD_bpyvFCXt9xoA$" TargetMode="External"/><Relationship Id="rId4" Type="http://schemas.openxmlformats.org/officeDocument/2006/relationships/webSettings" Target="webSettings.xml"/><Relationship Id="rId9" Type="http://schemas.openxmlformats.org/officeDocument/2006/relationships/hyperlink" Target="http://www.nationallife.com/uns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Belleville, Chris</cp:lastModifiedBy>
  <cp:revision>2</cp:revision>
  <dcterms:created xsi:type="dcterms:W3CDTF">2025-09-10T16:50:00Z</dcterms:created>
  <dcterms:modified xsi:type="dcterms:W3CDTF">2025-09-10T16:50:00Z</dcterms:modified>
</cp:coreProperties>
</file>