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51C76" w14:textId="16D70AC1" w:rsidR="00E30905" w:rsidRDefault="00FD0C35">
      <w:r>
        <w:t xml:space="preserve">Headline: </w:t>
      </w:r>
      <w:r w:rsidR="005B3F9B">
        <w:t>A R</w:t>
      </w:r>
      <w:r>
        <w:t xml:space="preserve">isky </w:t>
      </w:r>
      <w:r w:rsidR="005B3F9B">
        <w:t xml:space="preserve">Retirement </w:t>
      </w:r>
      <w:r>
        <w:t xml:space="preserve">Assumption </w:t>
      </w:r>
    </w:p>
    <w:p w14:paraId="3882E178" w14:textId="77777777" w:rsidR="00FD0C35" w:rsidRDefault="00FD0C35"/>
    <w:p w14:paraId="658C8C7B" w14:textId="1151F66A" w:rsidR="00FD0C35" w:rsidRDefault="00FD0C35">
      <w:r>
        <w:t>NLG Partner,</w:t>
      </w:r>
    </w:p>
    <w:p w14:paraId="5937C3B4" w14:textId="77777777" w:rsidR="00FD0C35" w:rsidRDefault="00FD0C35"/>
    <w:p w14:paraId="1ADB8A53" w14:textId="28A4C126" w:rsidR="00FD0C35" w:rsidRDefault="00FD0C35">
      <w:r>
        <w:t xml:space="preserve">A recent article pointed </w:t>
      </w:r>
      <w:r w:rsidR="001809B0">
        <w:t xml:space="preserve">out </w:t>
      </w:r>
      <w:r>
        <w:t>that many young Americans are assuming that their Inheritance will be a key part of their retirement plan.</w:t>
      </w:r>
      <w:r w:rsidR="00AA1549">
        <w:t xml:space="preserve"> </w:t>
      </w:r>
      <w:r w:rsidR="007B6A5F">
        <w:t>Inheritance</w:t>
      </w:r>
      <w:r>
        <w:t xml:space="preserve"> is not a game </w:t>
      </w:r>
      <w:r w:rsidR="00114FE5">
        <w:t>plan;</w:t>
      </w:r>
      <w:r>
        <w:t xml:space="preserve"> </w:t>
      </w:r>
      <w:r w:rsidR="00B164AE">
        <w:t>it’s</w:t>
      </w:r>
      <w:r>
        <w:t xml:space="preserve"> an assumption that might not come to fruition.</w:t>
      </w:r>
    </w:p>
    <w:p w14:paraId="57139F75" w14:textId="3152FF6C" w:rsidR="00FD0C35" w:rsidRDefault="00FD0C35">
      <w:r>
        <w:t>Data shows:</w:t>
      </w:r>
    </w:p>
    <w:p w14:paraId="03BB7976" w14:textId="785755E1" w:rsidR="00FD0C35" w:rsidRPr="00FD0C35" w:rsidRDefault="00FD0C35" w:rsidP="00FD0C35">
      <w:pPr>
        <w:pStyle w:val="ListParagraph"/>
        <w:numPr>
          <w:ilvl w:val="0"/>
          <w:numId w:val="1"/>
        </w:numPr>
        <w:rPr>
          <w:b/>
          <w:bCs/>
        </w:rPr>
      </w:pPr>
      <w:r w:rsidRPr="00FD0C35">
        <w:rPr>
          <w:b/>
          <w:bCs/>
        </w:rPr>
        <w:t xml:space="preserve">38% of Gen Z expects to receive an inheritance </w:t>
      </w:r>
    </w:p>
    <w:p w14:paraId="4C278167" w14:textId="0183EE80" w:rsidR="00FD0C35" w:rsidRPr="00FD0C35" w:rsidRDefault="00FD0C35" w:rsidP="00FD0C35">
      <w:pPr>
        <w:pStyle w:val="ListParagraph"/>
        <w:numPr>
          <w:ilvl w:val="0"/>
          <w:numId w:val="1"/>
        </w:numPr>
        <w:rPr>
          <w:b/>
          <w:bCs/>
        </w:rPr>
      </w:pPr>
      <w:r w:rsidRPr="00FD0C35">
        <w:rPr>
          <w:b/>
          <w:bCs/>
        </w:rPr>
        <w:t>22% of Boomers believe they’ll leave an inheritance</w:t>
      </w:r>
      <w:r w:rsidR="00657742">
        <w:rPr>
          <w:b/>
          <w:bCs/>
          <w:sz w:val="16"/>
          <w:szCs w:val="16"/>
        </w:rPr>
        <w:t>1</w:t>
      </w:r>
    </w:p>
    <w:p w14:paraId="43792A80" w14:textId="3D6143BF" w:rsidR="00FD0C35" w:rsidRDefault="00FD0C35" w:rsidP="00FD0C35">
      <w:r>
        <w:t>That’s a potential retirement gap</w:t>
      </w:r>
      <w:r w:rsidR="0032512A">
        <w:t xml:space="preserve">. </w:t>
      </w:r>
      <w:r>
        <w:t xml:space="preserve"> </w:t>
      </w:r>
      <w:r w:rsidR="0032512A">
        <w:t>G</w:t>
      </w:r>
      <w:r>
        <w:t xml:space="preserve">ive younger Americans another way to </w:t>
      </w:r>
      <w:r w:rsidR="00765950">
        <w:t xml:space="preserve">get a boost on </w:t>
      </w:r>
      <w:r>
        <w:t>sav</w:t>
      </w:r>
      <w:r w:rsidR="00765950">
        <w:t xml:space="preserve">ing </w:t>
      </w:r>
      <w:r>
        <w:t xml:space="preserve">for their retirement with National Life </w:t>
      </w:r>
      <w:r w:rsidR="0032512A">
        <w:t xml:space="preserve">Group </w:t>
      </w:r>
      <w:r>
        <w:t xml:space="preserve">that provides access to the </w:t>
      </w:r>
      <w:r w:rsidRPr="00FD0C35">
        <w:rPr>
          <w:b/>
          <w:bCs/>
          <w:u w:val="single"/>
        </w:rPr>
        <w:t>Growth Driver Fixed Index Annuity</w:t>
      </w:r>
      <w:r w:rsidR="00657742" w:rsidRPr="00657742">
        <w:rPr>
          <w:b/>
          <w:bCs/>
          <w:sz w:val="16"/>
          <w:szCs w:val="16"/>
          <w:u w:val="single"/>
        </w:rPr>
        <w:t>2</w:t>
      </w:r>
      <w:r>
        <w:t xml:space="preserve"> that offers accumulation with a bonus</w:t>
      </w:r>
      <w:r w:rsidR="00756D17" w:rsidRPr="004A267F">
        <w:rPr>
          <w:b/>
          <w:bCs/>
          <w:sz w:val="16"/>
          <w:szCs w:val="16"/>
        </w:rPr>
        <w:t>3</w:t>
      </w:r>
      <w:r>
        <w:t xml:space="preserve"> that’s available:</w:t>
      </w:r>
    </w:p>
    <w:p w14:paraId="1A604D30" w14:textId="79040BA8" w:rsidR="00FD0C35" w:rsidRPr="000C25B0" w:rsidRDefault="00FD0C35" w:rsidP="00FD0C35">
      <w:pPr>
        <w:pStyle w:val="ListParagraph"/>
        <w:numPr>
          <w:ilvl w:val="0"/>
          <w:numId w:val="2"/>
        </w:numPr>
        <w:rPr>
          <w:b/>
          <w:bCs/>
        </w:rPr>
      </w:pPr>
      <w:r w:rsidRPr="000C25B0">
        <w:rPr>
          <w:b/>
          <w:bCs/>
        </w:rPr>
        <w:t>7- or 10-Year Surrender Charge Options</w:t>
      </w:r>
      <w:r w:rsidR="0021443C" w:rsidRPr="0021443C">
        <w:rPr>
          <w:b/>
          <w:bCs/>
          <w:sz w:val="16"/>
          <w:szCs w:val="16"/>
        </w:rPr>
        <w:t>4</w:t>
      </w:r>
    </w:p>
    <w:p w14:paraId="7B7DF85C" w14:textId="77777777" w:rsidR="00FD0C35" w:rsidRPr="000C25B0" w:rsidRDefault="00FD0C35" w:rsidP="00FD0C35">
      <w:pPr>
        <w:pStyle w:val="ListParagraph"/>
        <w:numPr>
          <w:ilvl w:val="0"/>
          <w:numId w:val="2"/>
        </w:numPr>
        <w:rPr>
          <w:b/>
          <w:bCs/>
        </w:rPr>
      </w:pPr>
      <w:r w:rsidRPr="000C25B0">
        <w:rPr>
          <w:b/>
          <w:bCs/>
        </w:rPr>
        <w:t>Growth Driver 7 has a 7% Bonus</w:t>
      </w:r>
    </w:p>
    <w:p w14:paraId="2AADDE07" w14:textId="77777777" w:rsidR="00FD0C35" w:rsidRPr="000C25B0" w:rsidRDefault="00FD0C35" w:rsidP="00FD0C35">
      <w:pPr>
        <w:pStyle w:val="ListParagraph"/>
        <w:numPr>
          <w:ilvl w:val="0"/>
          <w:numId w:val="2"/>
        </w:numPr>
        <w:rPr>
          <w:b/>
          <w:bCs/>
        </w:rPr>
      </w:pPr>
      <w:r w:rsidRPr="000C25B0">
        <w:rPr>
          <w:b/>
          <w:bCs/>
        </w:rPr>
        <w:t xml:space="preserve">Growth Driver </w:t>
      </w:r>
      <w:r>
        <w:rPr>
          <w:b/>
          <w:bCs/>
        </w:rPr>
        <w:t xml:space="preserve">10 </w:t>
      </w:r>
      <w:r w:rsidRPr="000C25B0">
        <w:rPr>
          <w:b/>
          <w:bCs/>
        </w:rPr>
        <w:t xml:space="preserve">has a 10% Bonus </w:t>
      </w:r>
    </w:p>
    <w:p w14:paraId="011CD89F" w14:textId="2972E9C0" w:rsidR="00FD0C35" w:rsidRPr="00FD0C35" w:rsidRDefault="0021443C" w:rsidP="00FD0C35">
      <w:pPr>
        <w:pStyle w:val="ListParagraph"/>
        <w:numPr>
          <w:ilvl w:val="0"/>
          <w:numId w:val="2"/>
        </w:numPr>
        <w:rPr>
          <w:b/>
          <w:bCs/>
        </w:rPr>
      </w:pPr>
      <w:r w:rsidRPr="0021443C">
        <w:rPr>
          <w:b/>
          <w:bCs/>
        </w:rPr>
        <w:t>Fixed Rate or Indexed Crediting Options available</w:t>
      </w:r>
    </w:p>
    <w:p w14:paraId="4AAF0408" w14:textId="77777777" w:rsidR="00FD0C35" w:rsidRDefault="00FD0C35" w:rsidP="00FD0C35">
      <w:r>
        <w:t>Contact Bryan or I if you have any questions or need a quote today!</w:t>
      </w:r>
    </w:p>
    <w:p w14:paraId="373A908F" w14:textId="77777777" w:rsidR="00FD0C35" w:rsidRDefault="00FD0C35" w:rsidP="00FD0C35">
      <w:r>
        <w:t>Good Selling,</w:t>
      </w:r>
    </w:p>
    <w:tbl>
      <w:tblPr>
        <w:tblW w:w="0" w:type="auto"/>
        <w:shd w:val="clear" w:color="auto" w:fill="FFFFFF"/>
        <w:tblCellMar>
          <w:left w:w="0" w:type="dxa"/>
          <w:right w:w="0" w:type="dxa"/>
        </w:tblCellMar>
        <w:tblLook w:val="04A0" w:firstRow="1" w:lastRow="0" w:firstColumn="1" w:lastColumn="0" w:noHBand="0" w:noVBand="1"/>
      </w:tblPr>
      <w:tblGrid>
        <w:gridCol w:w="9295"/>
        <w:gridCol w:w="65"/>
      </w:tblGrid>
      <w:tr w:rsidR="00FD0C35" w14:paraId="40544481" w14:textId="77777777" w:rsidTr="00CD4244">
        <w:trPr>
          <w:trHeight w:val="2383"/>
        </w:trPr>
        <w:tc>
          <w:tcPr>
            <w:tcW w:w="9295" w:type="dxa"/>
            <w:shd w:val="clear" w:color="auto" w:fill="FFFFFF"/>
            <w:tcMar>
              <w:top w:w="144" w:type="dxa"/>
              <w:left w:w="15" w:type="dxa"/>
              <w:bottom w:w="15" w:type="dxa"/>
              <w:right w:w="15" w:type="dxa"/>
            </w:tcMar>
            <w:hideMark/>
          </w:tcPr>
          <w:tbl>
            <w:tblPr>
              <w:tblW w:w="10722" w:type="dxa"/>
              <w:tblCellMar>
                <w:left w:w="0" w:type="dxa"/>
                <w:right w:w="0" w:type="dxa"/>
              </w:tblCellMar>
              <w:tblLook w:val="04A0" w:firstRow="1" w:lastRow="0" w:firstColumn="1" w:lastColumn="0" w:noHBand="0" w:noVBand="1"/>
            </w:tblPr>
            <w:tblGrid>
              <w:gridCol w:w="2863"/>
              <w:gridCol w:w="2617"/>
              <w:gridCol w:w="2701"/>
              <w:gridCol w:w="2541"/>
            </w:tblGrid>
            <w:tr w:rsidR="00FD0C35" w14:paraId="184D468C" w14:textId="77777777" w:rsidTr="00CD4244">
              <w:trPr>
                <w:trHeight w:val="475"/>
              </w:trPr>
              <w:tc>
                <w:tcPr>
                  <w:tcW w:w="2863" w:type="dxa"/>
                  <w:tcBorders>
                    <w:top w:val="nil"/>
                    <w:left w:val="nil"/>
                    <w:bottom w:val="nil"/>
                    <w:right w:val="single" w:sz="8" w:space="0" w:color="auto"/>
                  </w:tcBorders>
                  <w:tcMar>
                    <w:top w:w="0" w:type="dxa"/>
                    <w:left w:w="108" w:type="dxa"/>
                    <w:bottom w:w="0" w:type="dxa"/>
                    <w:right w:w="108" w:type="dxa"/>
                  </w:tcMar>
                  <w:hideMark/>
                </w:tcPr>
                <w:p w14:paraId="5CC8813C" w14:textId="77777777" w:rsidR="00FD0C35" w:rsidRDefault="00FD0C35" w:rsidP="00CD4244">
                  <w:pPr>
                    <w:rPr>
                      <w:b/>
                      <w:bCs/>
                      <w:sz w:val="20"/>
                      <w:szCs w:val="20"/>
                      <w14:ligatures w14:val="none"/>
                    </w:rPr>
                  </w:pPr>
                  <w:r>
                    <w:rPr>
                      <w:b/>
                      <w:bCs/>
                      <w:color w:val="000000"/>
                      <w:sz w:val="20"/>
                      <w:szCs w:val="20"/>
                      <w14:ligatures w14:val="none"/>
                    </w:rPr>
                    <w:t>Craig J. Geiger</w:t>
                  </w:r>
                  <w:r>
                    <w:rPr>
                      <w:b/>
                      <w:bCs/>
                      <w:sz w:val="20"/>
                      <w:szCs w:val="20"/>
                      <w14:ligatures w14:val="none"/>
                    </w:rPr>
                    <w:t xml:space="preserve"> </w:t>
                  </w:r>
                </w:p>
              </w:tc>
              <w:tc>
                <w:tcPr>
                  <w:tcW w:w="2617" w:type="dxa"/>
                  <w:tcBorders>
                    <w:top w:val="nil"/>
                    <w:left w:val="nil"/>
                    <w:bottom w:val="nil"/>
                    <w:right w:val="single" w:sz="8" w:space="0" w:color="auto"/>
                  </w:tcBorders>
                  <w:tcMar>
                    <w:top w:w="0" w:type="dxa"/>
                    <w:left w:w="108" w:type="dxa"/>
                    <w:bottom w:w="0" w:type="dxa"/>
                    <w:right w:w="108" w:type="dxa"/>
                  </w:tcMar>
                  <w:hideMark/>
                </w:tcPr>
                <w:p w14:paraId="1312B8FC" w14:textId="77777777" w:rsidR="00FD0C35" w:rsidRDefault="00FD0C35" w:rsidP="00CD4244">
                  <w:pPr>
                    <w:rPr>
                      <w:sz w:val="20"/>
                      <w:szCs w:val="20"/>
                      <w14:ligatures w14:val="none"/>
                    </w:rPr>
                  </w:pPr>
                  <w:r>
                    <w:rPr>
                      <w:b/>
                      <w:bCs/>
                      <w:color w:val="000000"/>
                      <w:sz w:val="20"/>
                      <w:szCs w:val="20"/>
                      <w14:ligatures w14:val="none"/>
                    </w:rPr>
                    <w:t>Bryan Blake</w:t>
                  </w:r>
                </w:p>
              </w:tc>
              <w:tc>
                <w:tcPr>
                  <w:tcW w:w="2701" w:type="dxa"/>
                  <w:tcBorders>
                    <w:top w:val="nil"/>
                    <w:left w:val="nil"/>
                    <w:bottom w:val="nil"/>
                    <w:right w:val="single" w:sz="8" w:space="0" w:color="auto"/>
                  </w:tcBorders>
                  <w:tcMar>
                    <w:top w:w="0" w:type="dxa"/>
                    <w:left w:w="108" w:type="dxa"/>
                    <w:bottom w:w="0" w:type="dxa"/>
                    <w:right w:w="108" w:type="dxa"/>
                  </w:tcMar>
                  <w:hideMark/>
                </w:tcPr>
                <w:p w14:paraId="504F5B63" w14:textId="77777777" w:rsidR="00FD0C35" w:rsidRDefault="00FD0C35" w:rsidP="00CD4244">
                  <w:pPr>
                    <w:rPr>
                      <w:sz w:val="20"/>
                      <w:szCs w:val="20"/>
                      <w14:ligatures w14:val="none"/>
                    </w:rPr>
                  </w:pPr>
                  <w:r>
                    <w:rPr>
                      <w:b/>
                      <w:bCs/>
                      <w:color w:val="000000"/>
                      <w:sz w:val="20"/>
                      <w:szCs w:val="20"/>
                      <w14:ligatures w14:val="none"/>
                    </w:rPr>
                    <w:t>Kyle Carroll</w:t>
                  </w:r>
                </w:p>
              </w:tc>
              <w:tc>
                <w:tcPr>
                  <w:tcW w:w="2541" w:type="dxa"/>
                  <w:tcBorders>
                    <w:top w:val="nil"/>
                    <w:left w:val="nil"/>
                    <w:bottom w:val="nil"/>
                    <w:right w:val="single" w:sz="8" w:space="0" w:color="auto"/>
                  </w:tcBorders>
                  <w:tcMar>
                    <w:top w:w="0" w:type="dxa"/>
                    <w:left w:w="108" w:type="dxa"/>
                    <w:bottom w:w="0" w:type="dxa"/>
                    <w:right w:w="108" w:type="dxa"/>
                  </w:tcMar>
                  <w:hideMark/>
                </w:tcPr>
                <w:p w14:paraId="0F71B584" w14:textId="77777777" w:rsidR="00FD0C35" w:rsidRDefault="00FD0C35" w:rsidP="00CD4244">
                  <w:pPr>
                    <w:rPr>
                      <w:sz w:val="20"/>
                      <w:szCs w:val="20"/>
                      <w14:ligatures w14:val="none"/>
                    </w:rPr>
                  </w:pPr>
                  <w:r>
                    <w:rPr>
                      <w:b/>
                      <w:bCs/>
                      <w:color w:val="000000"/>
                      <w:sz w:val="20"/>
                      <w:szCs w:val="20"/>
                      <w14:ligatures w14:val="none"/>
                    </w:rPr>
                    <w:t>Brittany Porter</w:t>
                  </w:r>
                </w:p>
              </w:tc>
            </w:tr>
            <w:tr w:rsidR="00FD0C35" w14:paraId="43EEF736" w14:textId="77777777" w:rsidTr="00CD4244">
              <w:trPr>
                <w:trHeight w:val="421"/>
              </w:trPr>
              <w:tc>
                <w:tcPr>
                  <w:tcW w:w="2863" w:type="dxa"/>
                  <w:tcBorders>
                    <w:top w:val="nil"/>
                    <w:left w:val="nil"/>
                    <w:bottom w:val="nil"/>
                    <w:right w:val="single" w:sz="8" w:space="0" w:color="auto"/>
                  </w:tcBorders>
                  <w:tcMar>
                    <w:top w:w="0" w:type="dxa"/>
                    <w:left w:w="108" w:type="dxa"/>
                    <w:bottom w:w="0" w:type="dxa"/>
                    <w:right w:w="108" w:type="dxa"/>
                  </w:tcMar>
                  <w:hideMark/>
                </w:tcPr>
                <w:p w14:paraId="6798282C" w14:textId="77777777" w:rsidR="00FD0C35" w:rsidRDefault="00FD0C35" w:rsidP="00CD4244">
                  <w:pPr>
                    <w:rPr>
                      <w:sz w:val="20"/>
                      <w:szCs w:val="20"/>
                      <w14:ligatures w14:val="none"/>
                    </w:rPr>
                  </w:pPr>
                  <w:r>
                    <w:rPr>
                      <w:color w:val="000000"/>
                      <w:sz w:val="20"/>
                      <w:szCs w:val="20"/>
                      <w14:ligatures w14:val="none"/>
                    </w:rPr>
                    <w:t>National Accounts Representative</w:t>
                  </w:r>
                </w:p>
              </w:tc>
              <w:tc>
                <w:tcPr>
                  <w:tcW w:w="2617" w:type="dxa"/>
                  <w:tcBorders>
                    <w:top w:val="nil"/>
                    <w:left w:val="nil"/>
                    <w:bottom w:val="nil"/>
                    <w:right w:val="single" w:sz="8" w:space="0" w:color="auto"/>
                  </w:tcBorders>
                  <w:tcMar>
                    <w:top w:w="0" w:type="dxa"/>
                    <w:left w:w="108" w:type="dxa"/>
                    <w:bottom w:w="0" w:type="dxa"/>
                    <w:right w:w="108" w:type="dxa"/>
                  </w:tcMar>
                  <w:hideMark/>
                </w:tcPr>
                <w:p w14:paraId="534A0C7B" w14:textId="77777777" w:rsidR="00FD0C35" w:rsidRDefault="00FD0C35" w:rsidP="00CD4244">
                  <w:pPr>
                    <w:rPr>
                      <w:sz w:val="20"/>
                      <w:szCs w:val="20"/>
                      <w14:ligatures w14:val="none"/>
                    </w:rPr>
                  </w:pPr>
                  <w:r>
                    <w:rPr>
                      <w:color w:val="000000"/>
                      <w:sz w:val="20"/>
                      <w:szCs w:val="20"/>
                      <w14:ligatures w14:val="none"/>
                    </w:rPr>
                    <w:t>Senior Internal Wholesaler</w:t>
                  </w:r>
                </w:p>
              </w:tc>
              <w:tc>
                <w:tcPr>
                  <w:tcW w:w="2701" w:type="dxa"/>
                  <w:tcBorders>
                    <w:top w:val="nil"/>
                    <w:left w:val="nil"/>
                    <w:bottom w:val="nil"/>
                    <w:right w:val="single" w:sz="8" w:space="0" w:color="auto"/>
                  </w:tcBorders>
                  <w:tcMar>
                    <w:top w:w="0" w:type="dxa"/>
                    <w:left w:w="108" w:type="dxa"/>
                    <w:bottom w:w="0" w:type="dxa"/>
                    <w:right w:w="108" w:type="dxa"/>
                  </w:tcMar>
                  <w:hideMark/>
                </w:tcPr>
                <w:p w14:paraId="5ACDA51F" w14:textId="77777777" w:rsidR="00FD0C35" w:rsidRDefault="00FD0C35" w:rsidP="00CD4244">
                  <w:pPr>
                    <w:rPr>
                      <w:sz w:val="20"/>
                      <w:szCs w:val="20"/>
                      <w14:ligatures w14:val="none"/>
                    </w:rPr>
                  </w:pPr>
                  <w:r>
                    <w:rPr>
                      <w:color w:val="000000"/>
                      <w:sz w:val="20"/>
                      <w:szCs w:val="20"/>
                      <w14:ligatures w14:val="none"/>
                    </w:rPr>
                    <w:t>Internal Wholesaler</w:t>
                  </w:r>
                </w:p>
              </w:tc>
              <w:tc>
                <w:tcPr>
                  <w:tcW w:w="2541" w:type="dxa"/>
                  <w:tcBorders>
                    <w:top w:val="nil"/>
                    <w:left w:val="nil"/>
                    <w:bottom w:val="nil"/>
                    <w:right w:val="single" w:sz="8" w:space="0" w:color="auto"/>
                  </w:tcBorders>
                  <w:tcMar>
                    <w:top w:w="0" w:type="dxa"/>
                    <w:left w:w="108" w:type="dxa"/>
                    <w:bottom w:w="0" w:type="dxa"/>
                    <w:right w:w="108" w:type="dxa"/>
                  </w:tcMar>
                  <w:hideMark/>
                </w:tcPr>
                <w:p w14:paraId="1E447952" w14:textId="77777777" w:rsidR="00FD0C35" w:rsidRDefault="00FD0C35" w:rsidP="00CD4244">
                  <w:pPr>
                    <w:rPr>
                      <w:sz w:val="20"/>
                      <w:szCs w:val="20"/>
                      <w14:ligatures w14:val="none"/>
                    </w:rPr>
                  </w:pPr>
                  <w:r>
                    <w:rPr>
                      <w:color w:val="000000"/>
                      <w:sz w:val="20"/>
                      <w:szCs w:val="20"/>
                      <w14:ligatures w14:val="none"/>
                    </w:rPr>
                    <w:t>Annuity Field Advocate</w:t>
                  </w:r>
                </w:p>
              </w:tc>
            </w:tr>
            <w:tr w:rsidR="00FD0C35" w14:paraId="54116DC8" w14:textId="77777777" w:rsidTr="00CD4244">
              <w:trPr>
                <w:trHeight w:val="421"/>
              </w:trPr>
              <w:tc>
                <w:tcPr>
                  <w:tcW w:w="2863" w:type="dxa"/>
                  <w:tcBorders>
                    <w:top w:val="nil"/>
                    <w:left w:val="nil"/>
                    <w:bottom w:val="nil"/>
                    <w:right w:val="single" w:sz="8" w:space="0" w:color="auto"/>
                  </w:tcBorders>
                  <w:tcMar>
                    <w:top w:w="0" w:type="dxa"/>
                    <w:left w:w="108" w:type="dxa"/>
                    <w:bottom w:w="0" w:type="dxa"/>
                    <w:right w:w="108" w:type="dxa"/>
                  </w:tcMar>
                  <w:hideMark/>
                </w:tcPr>
                <w:p w14:paraId="418EA3D7" w14:textId="77777777" w:rsidR="00FD0C35" w:rsidRDefault="00FD0C35" w:rsidP="00CD4244">
                  <w:pPr>
                    <w:rPr>
                      <w:sz w:val="20"/>
                      <w:szCs w:val="20"/>
                      <w14:ligatures w14:val="none"/>
                    </w:rPr>
                  </w:pPr>
                  <w:r>
                    <w:rPr>
                      <w:color w:val="000000"/>
                      <w:sz w:val="20"/>
                      <w:szCs w:val="20"/>
                      <w14:ligatures w14:val="none"/>
                    </w:rPr>
                    <w:t>Annuities</w:t>
                  </w:r>
                </w:p>
              </w:tc>
              <w:tc>
                <w:tcPr>
                  <w:tcW w:w="2617" w:type="dxa"/>
                  <w:tcBorders>
                    <w:top w:val="nil"/>
                    <w:left w:val="nil"/>
                    <w:bottom w:val="nil"/>
                    <w:right w:val="single" w:sz="8" w:space="0" w:color="auto"/>
                  </w:tcBorders>
                  <w:tcMar>
                    <w:top w:w="0" w:type="dxa"/>
                    <w:left w:w="108" w:type="dxa"/>
                    <w:bottom w:w="0" w:type="dxa"/>
                    <w:right w:w="108" w:type="dxa"/>
                  </w:tcMar>
                  <w:hideMark/>
                </w:tcPr>
                <w:p w14:paraId="1830450D" w14:textId="77777777" w:rsidR="00FD0C35" w:rsidRDefault="00FD0C35" w:rsidP="00CD4244">
                  <w:pPr>
                    <w:rPr>
                      <w:sz w:val="20"/>
                      <w:szCs w:val="20"/>
                      <w14:ligatures w14:val="none"/>
                    </w:rPr>
                  </w:pPr>
                  <w:r>
                    <w:rPr>
                      <w:color w:val="000000"/>
                      <w:sz w:val="20"/>
                      <w:szCs w:val="20"/>
                      <w14:ligatures w14:val="none"/>
                    </w:rPr>
                    <w:t>Annuity and Life Sales Desk</w:t>
                  </w:r>
                </w:p>
              </w:tc>
              <w:tc>
                <w:tcPr>
                  <w:tcW w:w="2701" w:type="dxa"/>
                  <w:tcBorders>
                    <w:top w:val="nil"/>
                    <w:left w:val="nil"/>
                    <w:bottom w:val="nil"/>
                    <w:right w:val="single" w:sz="8" w:space="0" w:color="auto"/>
                  </w:tcBorders>
                  <w:tcMar>
                    <w:top w:w="0" w:type="dxa"/>
                    <w:left w:w="108" w:type="dxa"/>
                    <w:bottom w:w="0" w:type="dxa"/>
                    <w:right w:w="108" w:type="dxa"/>
                  </w:tcMar>
                  <w:hideMark/>
                </w:tcPr>
                <w:p w14:paraId="0ED5C450" w14:textId="77777777" w:rsidR="00FD0C35" w:rsidRDefault="00FD0C35" w:rsidP="00CD4244">
                  <w:pPr>
                    <w:rPr>
                      <w:sz w:val="20"/>
                      <w:szCs w:val="20"/>
                      <w14:ligatures w14:val="none"/>
                    </w:rPr>
                  </w:pPr>
                  <w:r>
                    <w:rPr>
                      <w:color w:val="000000"/>
                      <w:sz w:val="20"/>
                      <w:szCs w:val="20"/>
                      <w14:ligatures w14:val="none"/>
                    </w:rPr>
                    <w:t>Annuity and Life Sales Desk</w:t>
                  </w:r>
                </w:p>
              </w:tc>
              <w:tc>
                <w:tcPr>
                  <w:tcW w:w="2541" w:type="dxa"/>
                  <w:tcBorders>
                    <w:top w:val="nil"/>
                    <w:left w:val="nil"/>
                    <w:bottom w:val="nil"/>
                    <w:right w:val="single" w:sz="8" w:space="0" w:color="auto"/>
                  </w:tcBorders>
                  <w:tcMar>
                    <w:top w:w="0" w:type="dxa"/>
                    <w:left w:w="108" w:type="dxa"/>
                    <w:bottom w:w="0" w:type="dxa"/>
                    <w:right w:w="108" w:type="dxa"/>
                  </w:tcMar>
                  <w:hideMark/>
                </w:tcPr>
                <w:p w14:paraId="39D8FA91" w14:textId="77777777" w:rsidR="00FD0C35" w:rsidRDefault="00FD0C35" w:rsidP="00CD4244">
                  <w:pPr>
                    <w:rPr>
                      <w:sz w:val="20"/>
                      <w:szCs w:val="20"/>
                      <w14:ligatures w14:val="none"/>
                    </w:rPr>
                  </w:pPr>
                  <w:r>
                    <w:rPr>
                      <w:color w:val="000000"/>
                      <w:sz w:val="20"/>
                      <w:szCs w:val="20"/>
                      <w14:ligatures w14:val="none"/>
                    </w:rPr>
                    <w:t> </w:t>
                  </w:r>
                </w:p>
              </w:tc>
            </w:tr>
            <w:tr w:rsidR="00FD0C35" w14:paraId="19382723" w14:textId="77777777" w:rsidTr="00CD4244">
              <w:trPr>
                <w:trHeight w:val="446"/>
              </w:trPr>
              <w:tc>
                <w:tcPr>
                  <w:tcW w:w="2863" w:type="dxa"/>
                  <w:tcBorders>
                    <w:top w:val="nil"/>
                    <w:left w:val="nil"/>
                    <w:bottom w:val="nil"/>
                    <w:right w:val="single" w:sz="8" w:space="0" w:color="auto"/>
                  </w:tcBorders>
                  <w:tcMar>
                    <w:top w:w="0" w:type="dxa"/>
                    <w:left w:w="108" w:type="dxa"/>
                    <w:bottom w:w="0" w:type="dxa"/>
                    <w:right w:w="108" w:type="dxa"/>
                  </w:tcMar>
                  <w:hideMark/>
                </w:tcPr>
                <w:p w14:paraId="3BAD7B15" w14:textId="77777777" w:rsidR="00FD0C35" w:rsidRDefault="00FD0C35" w:rsidP="00CD4244">
                  <w:pPr>
                    <w:rPr>
                      <w:sz w:val="20"/>
                      <w:szCs w:val="20"/>
                      <w14:ligatures w14:val="none"/>
                    </w:rPr>
                  </w:pPr>
                  <w:r>
                    <w:rPr>
                      <w:sz w:val="20"/>
                      <w:szCs w:val="20"/>
                      <w14:ligatures w14:val="none"/>
                    </w:rPr>
                    <w:t>312-965-4542</w:t>
                  </w:r>
                </w:p>
              </w:tc>
              <w:tc>
                <w:tcPr>
                  <w:tcW w:w="2617" w:type="dxa"/>
                  <w:tcBorders>
                    <w:top w:val="nil"/>
                    <w:left w:val="nil"/>
                    <w:bottom w:val="nil"/>
                    <w:right w:val="single" w:sz="8" w:space="0" w:color="auto"/>
                  </w:tcBorders>
                  <w:tcMar>
                    <w:top w:w="0" w:type="dxa"/>
                    <w:left w:w="108" w:type="dxa"/>
                    <w:bottom w:w="0" w:type="dxa"/>
                    <w:right w:w="108" w:type="dxa"/>
                  </w:tcMar>
                  <w:hideMark/>
                </w:tcPr>
                <w:p w14:paraId="09579DEA" w14:textId="77777777" w:rsidR="00FD0C35" w:rsidRDefault="00FD0C35" w:rsidP="00CD4244">
                  <w:pPr>
                    <w:rPr>
                      <w:sz w:val="20"/>
                      <w:szCs w:val="20"/>
                      <w14:ligatures w14:val="none"/>
                    </w:rPr>
                  </w:pPr>
                  <w:r>
                    <w:rPr>
                      <w:color w:val="000000"/>
                      <w:sz w:val="20"/>
                      <w:szCs w:val="20"/>
                      <w14:ligatures w14:val="none"/>
                    </w:rPr>
                    <w:t>214-638-9263</w:t>
                  </w:r>
                </w:p>
              </w:tc>
              <w:tc>
                <w:tcPr>
                  <w:tcW w:w="2701" w:type="dxa"/>
                  <w:tcBorders>
                    <w:top w:val="nil"/>
                    <w:left w:val="nil"/>
                    <w:bottom w:val="nil"/>
                    <w:right w:val="single" w:sz="8" w:space="0" w:color="auto"/>
                  </w:tcBorders>
                  <w:tcMar>
                    <w:top w:w="0" w:type="dxa"/>
                    <w:left w:w="108" w:type="dxa"/>
                    <w:bottom w:w="0" w:type="dxa"/>
                    <w:right w:w="108" w:type="dxa"/>
                  </w:tcMar>
                  <w:hideMark/>
                </w:tcPr>
                <w:p w14:paraId="0151BFDA" w14:textId="77777777" w:rsidR="00FD0C35" w:rsidRDefault="00FD0C35" w:rsidP="00CD4244">
                  <w:pPr>
                    <w:rPr>
                      <w:sz w:val="20"/>
                      <w:szCs w:val="20"/>
                      <w14:ligatures w14:val="none"/>
                    </w:rPr>
                  </w:pPr>
                  <w:r>
                    <w:rPr>
                      <w:color w:val="000000"/>
                      <w:sz w:val="20"/>
                      <w:szCs w:val="20"/>
                      <w14:ligatures w14:val="none"/>
                    </w:rPr>
                    <w:t>214-638-9280</w:t>
                  </w:r>
                </w:p>
              </w:tc>
              <w:tc>
                <w:tcPr>
                  <w:tcW w:w="2541" w:type="dxa"/>
                  <w:tcBorders>
                    <w:top w:val="nil"/>
                    <w:left w:val="nil"/>
                    <w:bottom w:val="nil"/>
                    <w:right w:val="single" w:sz="8" w:space="0" w:color="auto"/>
                  </w:tcBorders>
                  <w:tcMar>
                    <w:top w:w="0" w:type="dxa"/>
                    <w:left w:w="108" w:type="dxa"/>
                    <w:bottom w:w="0" w:type="dxa"/>
                    <w:right w:w="108" w:type="dxa"/>
                  </w:tcMar>
                  <w:hideMark/>
                </w:tcPr>
                <w:p w14:paraId="3839B742" w14:textId="77777777" w:rsidR="00FD0C35" w:rsidRDefault="00FD0C35" w:rsidP="00CD4244">
                  <w:pPr>
                    <w:rPr>
                      <w:sz w:val="20"/>
                      <w:szCs w:val="20"/>
                      <w14:ligatures w14:val="none"/>
                    </w:rPr>
                  </w:pPr>
                  <w:r>
                    <w:rPr>
                      <w:color w:val="000000"/>
                      <w:sz w:val="20"/>
                      <w:szCs w:val="20"/>
                      <w14:ligatures w14:val="none"/>
                    </w:rPr>
                    <w:t>802-224-1631</w:t>
                  </w:r>
                </w:p>
              </w:tc>
            </w:tr>
            <w:tr w:rsidR="00FD0C35" w14:paraId="1D52A6C8" w14:textId="77777777" w:rsidTr="00CD4244">
              <w:trPr>
                <w:trHeight w:val="902"/>
              </w:trPr>
              <w:tc>
                <w:tcPr>
                  <w:tcW w:w="2863" w:type="dxa"/>
                  <w:tcBorders>
                    <w:top w:val="nil"/>
                    <w:left w:val="nil"/>
                    <w:bottom w:val="nil"/>
                    <w:right w:val="single" w:sz="8" w:space="0" w:color="auto"/>
                  </w:tcBorders>
                  <w:tcMar>
                    <w:top w:w="0" w:type="dxa"/>
                    <w:left w:w="108" w:type="dxa"/>
                    <w:bottom w:w="0" w:type="dxa"/>
                    <w:right w:w="108" w:type="dxa"/>
                  </w:tcMar>
                  <w:hideMark/>
                </w:tcPr>
                <w:p w14:paraId="1A422596" w14:textId="77777777" w:rsidR="00FD0C35" w:rsidRDefault="00FD0C35" w:rsidP="00CD4244">
                  <w:pPr>
                    <w:rPr>
                      <w:sz w:val="20"/>
                      <w:szCs w:val="20"/>
                      <w14:ligatures w14:val="none"/>
                    </w:rPr>
                  </w:pPr>
                  <w:hyperlink r:id="rId5" w:history="1">
                    <w:r>
                      <w:rPr>
                        <w:rStyle w:val="Hyperlink"/>
                        <w:sz w:val="20"/>
                        <w:szCs w:val="20"/>
                        <w14:ligatures w14:val="none"/>
                      </w:rPr>
                      <w:t>cgeiger@nationalLife.com</w:t>
                    </w:r>
                  </w:hyperlink>
                </w:p>
              </w:tc>
              <w:tc>
                <w:tcPr>
                  <w:tcW w:w="2617" w:type="dxa"/>
                  <w:tcBorders>
                    <w:top w:val="nil"/>
                    <w:left w:val="nil"/>
                    <w:bottom w:val="nil"/>
                    <w:right w:val="single" w:sz="8" w:space="0" w:color="auto"/>
                  </w:tcBorders>
                  <w:tcMar>
                    <w:top w:w="0" w:type="dxa"/>
                    <w:left w:w="108" w:type="dxa"/>
                    <w:bottom w:w="0" w:type="dxa"/>
                    <w:right w:w="108" w:type="dxa"/>
                  </w:tcMar>
                  <w:hideMark/>
                </w:tcPr>
                <w:p w14:paraId="76A8A3FC" w14:textId="77777777" w:rsidR="00FD0C35" w:rsidRDefault="00FD0C35" w:rsidP="00CD4244">
                  <w:pPr>
                    <w:rPr>
                      <w:sz w:val="20"/>
                      <w:szCs w:val="20"/>
                      <w14:ligatures w14:val="none"/>
                    </w:rPr>
                  </w:pPr>
                  <w:hyperlink r:id="rId6" w:history="1">
                    <w:r>
                      <w:rPr>
                        <w:rStyle w:val="Hyperlink"/>
                        <w:sz w:val="20"/>
                        <w:szCs w:val="20"/>
                        <w14:ligatures w14:val="none"/>
                      </w:rPr>
                      <w:t>bblake@nationalLife.com</w:t>
                    </w:r>
                  </w:hyperlink>
                </w:p>
              </w:tc>
              <w:tc>
                <w:tcPr>
                  <w:tcW w:w="2701" w:type="dxa"/>
                  <w:tcBorders>
                    <w:top w:val="nil"/>
                    <w:left w:val="nil"/>
                    <w:bottom w:val="nil"/>
                    <w:right w:val="single" w:sz="8" w:space="0" w:color="auto"/>
                  </w:tcBorders>
                  <w:tcMar>
                    <w:top w:w="0" w:type="dxa"/>
                    <w:left w:w="108" w:type="dxa"/>
                    <w:bottom w:w="0" w:type="dxa"/>
                    <w:right w:w="108" w:type="dxa"/>
                  </w:tcMar>
                  <w:hideMark/>
                </w:tcPr>
                <w:p w14:paraId="3EA7F91A" w14:textId="77777777" w:rsidR="00FD0C35" w:rsidRDefault="00FD0C35" w:rsidP="00CD4244">
                  <w:pPr>
                    <w:rPr>
                      <w:sz w:val="20"/>
                      <w:szCs w:val="20"/>
                      <w14:ligatures w14:val="none"/>
                    </w:rPr>
                  </w:pPr>
                  <w:hyperlink r:id="rId7" w:history="1">
                    <w:r>
                      <w:rPr>
                        <w:rStyle w:val="Hyperlink"/>
                        <w:sz w:val="20"/>
                        <w:szCs w:val="20"/>
                        <w14:ligatures w14:val="none"/>
                      </w:rPr>
                      <w:t>kcarroll@nationalLife.com</w:t>
                    </w:r>
                  </w:hyperlink>
                  <w:r>
                    <w:rPr>
                      <w:color w:val="000000"/>
                      <w:sz w:val="20"/>
                      <w:szCs w:val="20"/>
                      <w14:ligatures w14:val="none"/>
                    </w:rPr>
                    <w:t xml:space="preserve"> </w:t>
                  </w:r>
                </w:p>
                <w:p w14:paraId="4D0C2C57" w14:textId="77777777" w:rsidR="00FD0C35" w:rsidRDefault="00FD0C35" w:rsidP="00CD4244">
                  <w:pPr>
                    <w:rPr>
                      <w:sz w:val="20"/>
                      <w:szCs w:val="20"/>
                      <w14:ligatures w14:val="none"/>
                    </w:rPr>
                  </w:pPr>
                  <w:r>
                    <w:rPr>
                      <w:color w:val="000000"/>
                      <w:sz w:val="20"/>
                      <w:szCs w:val="20"/>
                      <w14:ligatures w14:val="none"/>
                    </w:rPr>
                    <w:t> </w:t>
                  </w:r>
                </w:p>
              </w:tc>
              <w:tc>
                <w:tcPr>
                  <w:tcW w:w="2541" w:type="dxa"/>
                  <w:tcBorders>
                    <w:top w:val="nil"/>
                    <w:left w:val="nil"/>
                    <w:bottom w:val="nil"/>
                    <w:right w:val="single" w:sz="8" w:space="0" w:color="auto"/>
                  </w:tcBorders>
                  <w:tcMar>
                    <w:top w:w="0" w:type="dxa"/>
                    <w:left w:w="108" w:type="dxa"/>
                    <w:bottom w:w="0" w:type="dxa"/>
                    <w:right w:w="108" w:type="dxa"/>
                  </w:tcMar>
                  <w:hideMark/>
                </w:tcPr>
                <w:p w14:paraId="670DF3E6" w14:textId="77777777" w:rsidR="00FD0C35" w:rsidRDefault="00FD0C35" w:rsidP="00CD4244">
                  <w:pPr>
                    <w:rPr>
                      <w:sz w:val="20"/>
                      <w:szCs w:val="20"/>
                      <w14:ligatures w14:val="none"/>
                    </w:rPr>
                  </w:pPr>
                  <w:r>
                    <w:rPr>
                      <w:color w:val="467886"/>
                      <w:sz w:val="20"/>
                      <w:szCs w:val="20"/>
                      <w:u w:val="single"/>
                      <w14:ligatures w14:val="none"/>
                    </w:rPr>
                    <w:t>bp</w:t>
                  </w:r>
                  <w:hyperlink r:id="rId8" w:history="1">
                    <w:r>
                      <w:rPr>
                        <w:rStyle w:val="Hyperlink"/>
                        <w:sz w:val="20"/>
                        <w:szCs w:val="20"/>
                        <w14:ligatures w14:val="none"/>
                      </w:rPr>
                      <w:t>orter@nationalLife.com</w:t>
                    </w:r>
                  </w:hyperlink>
                  <w:r>
                    <w:rPr>
                      <w:color w:val="000000"/>
                      <w:sz w:val="20"/>
                      <w:szCs w:val="20"/>
                      <w14:ligatures w14:val="none"/>
                    </w:rPr>
                    <w:t xml:space="preserve"> </w:t>
                  </w:r>
                </w:p>
              </w:tc>
            </w:tr>
          </w:tbl>
          <w:p w14:paraId="06D51389" w14:textId="77777777" w:rsidR="00FD0C35" w:rsidRDefault="00FD0C35" w:rsidP="00CD4244">
            <w:pPr>
              <w:rPr>
                <w:rFonts w:ascii="Aptos" w:hAnsi="Aptos" w:cs="Aptos"/>
                <w:sz w:val="20"/>
                <w:szCs w:val="20"/>
                <w14:ligatures w14:val="none"/>
              </w:rPr>
            </w:pPr>
            <w:r>
              <w:rPr>
                <w:color w:val="000000"/>
                <w:sz w:val="20"/>
                <w:szCs w:val="20"/>
                <w14:ligatures w14:val="none"/>
              </w:rPr>
              <w:t>  </w:t>
            </w:r>
          </w:p>
        </w:tc>
        <w:tc>
          <w:tcPr>
            <w:tcW w:w="65" w:type="dxa"/>
            <w:shd w:val="clear" w:color="auto" w:fill="FFFFFF"/>
            <w:tcMar>
              <w:top w:w="15" w:type="dxa"/>
              <w:left w:w="15" w:type="dxa"/>
              <w:bottom w:w="15" w:type="dxa"/>
              <w:right w:w="15" w:type="dxa"/>
            </w:tcMar>
            <w:hideMark/>
          </w:tcPr>
          <w:p w14:paraId="375B302F" w14:textId="77777777" w:rsidR="00FD0C35" w:rsidRDefault="00FD0C35" w:rsidP="00CD4244">
            <w:pPr>
              <w:rPr>
                <w:sz w:val="20"/>
                <w:szCs w:val="20"/>
                <w14:ligatures w14:val="none"/>
              </w:rPr>
            </w:pPr>
            <w:r>
              <w:rPr>
                <w:color w:val="000000"/>
                <w:sz w:val="20"/>
                <w:szCs w:val="20"/>
                <w14:ligatures w14:val="none"/>
              </w:rPr>
              <w:t> </w:t>
            </w:r>
          </w:p>
        </w:tc>
      </w:tr>
    </w:tbl>
    <w:p w14:paraId="7BD4E300" w14:textId="77777777" w:rsidR="00FD0C35" w:rsidRDefault="00FD0C35" w:rsidP="00FD0C35"/>
    <w:p w14:paraId="3115648C" w14:textId="77777777" w:rsidR="00FD0C35" w:rsidRDefault="00FD0C35" w:rsidP="00FD0C35">
      <w:r>
        <w:rPr>
          <w:rFonts w:ascii="Calibri" w:hAnsi="Calibri" w:cs="Calibri"/>
          <w:noProof/>
          <w:sz w:val="20"/>
          <w:szCs w:val="20"/>
        </w:rPr>
        <w:lastRenderedPageBreak/>
        <w:drawing>
          <wp:inline distT="0" distB="0" distL="0" distR="0" wp14:anchorId="7A48B29D" wp14:editId="51F92D0A">
            <wp:extent cx="2171700" cy="866775"/>
            <wp:effectExtent l="0" t="0" r="0" b="9525"/>
            <wp:docPr id="13323219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71700" cy="866775"/>
                    </a:xfrm>
                    <a:prstGeom prst="rect">
                      <a:avLst/>
                    </a:prstGeom>
                    <a:noFill/>
                    <a:ln>
                      <a:noFill/>
                    </a:ln>
                  </pic:spPr>
                </pic:pic>
              </a:graphicData>
            </a:graphic>
          </wp:inline>
        </w:drawing>
      </w:r>
    </w:p>
    <w:p w14:paraId="1CBF17EB" w14:textId="77777777" w:rsidR="00FD0C35" w:rsidRDefault="00FD0C35" w:rsidP="00FD0C35">
      <w:pPr>
        <w:rPr>
          <w:rFonts w:ascii="Calibri" w:hAnsi="Calibri" w:cs="Calibri"/>
          <w:sz w:val="22"/>
          <w:szCs w:val="22"/>
        </w:rPr>
      </w:pPr>
      <w:r>
        <w:rPr>
          <w:rFonts w:ascii="Arial" w:hAnsi="Arial" w:cs="Arial"/>
          <w:color w:val="5CA545"/>
          <w:sz w:val="18"/>
          <w:szCs w:val="18"/>
        </w:rPr>
        <w:t>Print Responsibly</w:t>
      </w:r>
    </w:p>
    <w:p w14:paraId="6CE81B2D" w14:textId="77777777" w:rsidR="00FD0C35" w:rsidRPr="0075078B" w:rsidRDefault="00FD0C35" w:rsidP="00FD0C35">
      <w:pPr>
        <w:pStyle w:val="NormalWeb"/>
        <w:rPr>
          <w:b/>
          <w:bCs/>
          <w:color w:val="000000"/>
          <w:sz w:val="16"/>
          <w:szCs w:val="16"/>
        </w:rPr>
      </w:pPr>
      <w:r w:rsidRPr="0075078B">
        <w:rPr>
          <w:b/>
          <w:bCs/>
          <w:color w:val="000000"/>
          <w:sz w:val="16"/>
          <w:szCs w:val="16"/>
        </w:rPr>
        <w:t>Products issued by:</w:t>
      </w:r>
    </w:p>
    <w:p w14:paraId="596BD086" w14:textId="0671E7B9" w:rsidR="00952F94" w:rsidRPr="00952F94" w:rsidRDefault="00FD0C35" w:rsidP="00952F94">
      <w:pPr>
        <w:pStyle w:val="NormalWeb"/>
        <w:rPr>
          <w:b/>
          <w:bCs/>
          <w:color w:val="000000"/>
          <w:sz w:val="16"/>
          <w:szCs w:val="16"/>
        </w:rPr>
      </w:pPr>
      <w:r w:rsidRPr="0075078B">
        <w:rPr>
          <w:b/>
          <w:bCs/>
          <w:color w:val="000000"/>
          <w:sz w:val="16"/>
          <w:szCs w:val="16"/>
        </w:rPr>
        <w:t>Life Insurance Company of the Southwest</w:t>
      </w:r>
    </w:p>
    <w:p w14:paraId="5A5366F3" w14:textId="4186C9DD" w:rsidR="00952F94" w:rsidRPr="00952F94" w:rsidRDefault="00952F94" w:rsidP="00952F94">
      <w:pPr>
        <w:pStyle w:val="NormalWeb"/>
        <w:rPr>
          <w:color w:val="000000"/>
          <w:sz w:val="16"/>
          <w:szCs w:val="16"/>
        </w:rPr>
      </w:pPr>
      <w:r w:rsidRPr="00952F94">
        <w:rPr>
          <w:color w:val="000000"/>
          <w:sz w:val="16"/>
          <w:szCs w:val="16"/>
        </w:rPr>
        <w:t>National Life Group® is a trade name of Life Insurance Company of the Southwest, Addison, TX and their affiliates, which offer a variety of financial service products.</w:t>
      </w:r>
    </w:p>
    <w:p w14:paraId="7ED631FD" w14:textId="596AAD11" w:rsidR="00FD0C35" w:rsidRPr="007B6A5F" w:rsidRDefault="00952F94" w:rsidP="00FD0C35">
      <w:pPr>
        <w:pStyle w:val="NormalWeb"/>
        <w:rPr>
          <w:color w:val="000000"/>
          <w:sz w:val="16"/>
          <w:szCs w:val="16"/>
        </w:rPr>
      </w:pPr>
      <w:r w:rsidRPr="00952F94">
        <w:rPr>
          <w:color w:val="000000"/>
          <w:sz w:val="16"/>
          <w:szCs w:val="16"/>
        </w:rPr>
        <w:t>This is an advertisement.</w:t>
      </w:r>
      <w:r w:rsidR="00F755E0">
        <w:rPr>
          <w:color w:val="000000"/>
          <w:sz w:val="16"/>
          <w:szCs w:val="16"/>
        </w:rPr>
        <w:t xml:space="preserve"> </w:t>
      </w:r>
      <w:r w:rsidRPr="00952F94">
        <w:rPr>
          <w:color w:val="000000"/>
          <w:sz w:val="16"/>
          <w:szCs w:val="16"/>
        </w:rPr>
        <w:t>To be removed from future mailings, please enter your email address here: www.nationallife.com/unsub</w:t>
      </w:r>
    </w:p>
    <w:p w14:paraId="520A0CCE" w14:textId="436980EF" w:rsidR="00765950" w:rsidRPr="007B6A5F" w:rsidRDefault="00F755E0" w:rsidP="00B11595">
      <w:pPr>
        <w:pStyle w:val="NormalWeb"/>
        <w:rPr>
          <w:rFonts w:ascii="Arial" w:hAnsi="Arial" w:cs="Arial"/>
          <w:color w:val="000000"/>
          <w:sz w:val="16"/>
          <w:szCs w:val="16"/>
          <w:shd w:val="clear" w:color="auto" w:fill="FFFFFF"/>
        </w:rPr>
      </w:pPr>
      <w:r w:rsidRPr="007C3821">
        <w:rPr>
          <w:color w:val="000000"/>
          <w:sz w:val="16"/>
          <w:szCs w:val="16"/>
        </w:rPr>
        <w:t>1.</w:t>
      </w:r>
      <w:r w:rsidR="00FD0C35" w:rsidRPr="007C3821">
        <w:rPr>
          <w:color w:val="000000"/>
          <w:sz w:val="16"/>
          <w:szCs w:val="16"/>
        </w:rPr>
        <w:t>Source:</w:t>
      </w:r>
      <w:r w:rsidR="00FD0C35" w:rsidRPr="007B6A5F">
        <w:rPr>
          <w:color w:val="000000"/>
          <w:sz w:val="16"/>
          <w:szCs w:val="16"/>
        </w:rPr>
        <w:t xml:space="preserve"> The Great Wealth Transfer-9/2/24</w:t>
      </w:r>
      <w:r w:rsidR="00765950" w:rsidRPr="007B6A5F">
        <w:rPr>
          <w:rFonts w:ascii="Arial" w:hAnsi="Arial" w:cs="Arial"/>
          <w:color w:val="000000"/>
          <w:sz w:val="16"/>
          <w:szCs w:val="16"/>
          <w:shd w:val="clear" w:color="auto" w:fill="FFFFFF"/>
        </w:rPr>
        <w:t xml:space="preserve"> According to a recent survey by Northwestern Mutual and Tom Mathews, CEO of Wealth Wave and co-author of </w:t>
      </w:r>
      <w:r w:rsidR="00765950" w:rsidRPr="007B6A5F">
        <w:rPr>
          <w:rStyle w:val="Emphasis"/>
          <w:rFonts w:ascii="Arial" w:eastAsiaTheme="majorEastAsia" w:hAnsi="Arial" w:cs="Arial"/>
          <w:color w:val="000000"/>
          <w:sz w:val="16"/>
          <w:szCs w:val="16"/>
          <w:shd w:val="clear" w:color="auto" w:fill="FFFFFF"/>
        </w:rPr>
        <w:t>HowMoneyWorks: Stop Being A Sucker</w:t>
      </w:r>
      <w:r w:rsidR="00765950" w:rsidRPr="007B6A5F">
        <w:rPr>
          <w:rFonts w:ascii="Arial" w:hAnsi="Arial" w:cs="Arial"/>
          <w:color w:val="000000"/>
          <w:sz w:val="16"/>
          <w:szCs w:val="16"/>
          <w:shd w:val="clear" w:color="auto" w:fill="FFFFFF"/>
        </w:rPr>
        <w:t>, points out the dangers of this mindset</w:t>
      </w:r>
      <w:r w:rsidR="00765950" w:rsidRPr="007B6A5F">
        <w:rPr>
          <w:sz w:val="16"/>
          <w:szCs w:val="16"/>
        </w:rPr>
        <w:t xml:space="preserve"> </w:t>
      </w:r>
      <w:hyperlink r:id="rId11" w:history="1">
        <w:r w:rsidR="00765950" w:rsidRPr="007B6A5F">
          <w:rPr>
            <w:rStyle w:val="Hyperlink"/>
            <w:rFonts w:eastAsiaTheme="majorEastAsia"/>
            <w:sz w:val="16"/>
            <w:szCs w:val="16"/>
          </w:rPr>
          <w:t>https://urldefense.com/v3/__https://wealthwave.com/alvinking/blog/the-great-wealth-transfer-update__;!!BeEutw6RKg!EWXonL_uOe8Pphjo9V3oUeJH8T6KqYNCfvisZ1baHTSAhyM1rXdkCFWLJAXymbnX_m9cKmE2fyyZ7rNytBKxo-Rs-uM$</w:t>
        </w:r>
      </w:hyperlink>
    </w:p>
    <w:p w14:paraId="7B7EF369" w14:textId="47EC9124" w:rsidR="00D43DFD" w:rsidRPr="00D43DFD" w:rsidRDefault="00D43DFD" w:rsidP="00D43DFD">
      <w:pPr>
        <w:pStyle w:val="NormalWeb"/>
        <w:rPr>
          <w:rFonts w:ascii="Arial" w:hAnsi="Arial" w:cs="Arial"/>
          <w:color w:val="000000"/>
          <w:sz w:val="16"/>
          <w:szCs w:val="16"/>
          <w:shd w:val="clear" w:color="auto" w:fill="FFFFFF"/>
        </w:rPr>
      </w:pPr>
      <w:r w:rsidRPr="00D43DFD">
        <w:rPr>
          <w:rFonts w:ascii="Arial" w:hAnsi="Arial" w:cs="Arial"/>
          <w:color w:val="000000"/>
          <w:sz w:val="16"/>
          <w:szCs w:val="16"/>
          <w:shd w:val="clear" w:color="auto" w:fill="FFFFFF"/>
        </w:rPr>
        <w:t>2. A Fixed Indexed Annuity (FIA) is usually a fixed annuity whose interest is determined, at least in part, by the performance of a specified index of the market. Unlike traditional fixed annuities, the policy owner may receive zero interest for a single period on a specific premium payment if the index performs poorly. However, with most designs, the premiums are protected and guaranteed to grow over time, and the owner of a fixed indexed annuity may experience better interest crediting than a traditional fixed annuity during periods when the market performs well. Indexed annuities do not directly participate in any stock or equity investments. An investment cannot be made directly into an index. Most FIAs permit owners to participate in only a stated percentage of an increase in an index, and also impose a "cap rate" that represents the maximum annual account value percentage increase allowed to contract owners. Because they are meant for long-term accumulation, most annuities have surrender charges that are assessed during the early years of the contract if the contract owner surrenders the annuity. In addition, withdrawals prior to age 59 1/2 may be subject to a 10% Federal Tax Penalty. The guarantees of annuity contracts are contingent on the claims-paying ability of the issuing insurance company. All withdrawals made from annuities with pre-tax contributions are taxed as ordinary income. All withdrawals from an annuity purchased with non-qualified monies are taxable as ordinary income only to the extent there is a gain in the policy.</w:t>
      </w:r>
    </w:p>
    <w:p w14:paraId="333619B9" w14:textId="3FD975E4" w:rsidR="00D43DFD" w:rsidRPr="00D43DFD" w:rsidRDefault="00D43DFD" w:rsidP="00D43DFD">
      <w:pPr>
        <w:pStyle w:val="NormalWeb"/>
        <w:rPr>
          <w:rFonts w:ascii="Arial" w:hAnsi="Arial" w:cs="Arial"/>
          <w:color w:val="000000"/>
          <w:sz w:val="16"/>
          <w:szCs w:val="16"/>
          <w:shd w:val="clear" w:color="auto" w:fill="FFFFFF"/>
        </w:rPr>
      </w:pPr>
      <w:r w:rsidRPr="00D43DFD">
        <w:rPr>
          <w:rFonts w:ascii="Arial" w:hAnsi="Arial" w:cs="Arial"/>
          <w:color w:val="000000"/>
          <w:sz w:val="16"/>
          <w:szCs w:val="16"/>
          <w:shd w:val="clear" w:color="auto" w:fill="FFFFFF"/>
        </w:rPr>
        <w:t xml:space="preserve">3. Receive an upfront 10% premium bonus for 10-year policies, or a 7% premium bonus for 7-year policies.  </w:t>
      </w:r>
    </w:p>
    <w:p w14:paraId="3D858D26" w14:textId="77777777" w:rsidR="00D43DFD" w:rsidRPr="00D43DFD" w:rsidRDefault="00D43DFD" w:rsidP="00D43DFD">
      <w:pPr>
        <w:pStyle w:val="NormalWeb"/>
        <w:rPr>
          <w:rFonts w:ascii="Arial" w:hAnsi="Arial" w:cs="Arial"/>
          <w:color w:val="000000"/>
          <w:sz w:val="16"/>
          <w:szCs w:val="16"/>
          <w:shd w:val="clear" w:color="auto" w:fill="FFFFFF"/>
        </w:rPr>
      </w:pPr>
      <w:r w:rsidRPr="00D43DFD">
        <w:rPr>
          <w:rFonts w:ascii="Arial" w:hAnsi="Arial" w:cs="Arial"/>
          <w:color w:val="000000"/>
          <w:sz w:val="16"/>
          <w:szCs w:val="16"/>
          <w:shd w:val="clear" w:color="auto" w:fill="FFFFFF"/>
        </w:rPr>
        <w:t xml:space="preserve">4. A bonus recapture charge may also be applied, based on how long the owner has had the annuity and how much is withdrawn.  </w:t>
      </w:r>
    </w:p>
    <w:p w14:paraId="364184B4" w14:textId="77777777" w:rsidR="00D43DFD" w:rsidRPr="00D43DFD" w:rsidRDefault="00D43DFD" w:rsidP="00D43DFD">
      <w:pPr>
        <w:pStyle w:val="NormalWeb"/>
        <w:rPr>
          <w:rFonts w:ascii="Arial" w:hAnsi="Arial" w:cs="Arial"/>
          <w:color w:val="000000"/>
          <w:sz w:val="16"/>
          <w:szCs w:val="16"/>
          <w:shd w:val="clear" w:color="auto" w:fill="FFFFFF"/>
        </w:rPr>
      </w:pPr>
      <w:r w:rsidRPr="00D43DFD">
        <w:rPr>
          <w:rFonts w:ascii="Arial" w:hAnsi="Arial" w:cs="Arial"/>
          <w:color w:val="000000"/>
          <w:sz w:val="16"/>
          <w:szCs w:val="16"/>
          <w:shd w:val="clear" w:color="auto" w:fill="FFFFFF"/>
        </w:rPr>
        <w:t>FOR RECRUITING/FINANCIAL PROFESSIONAL USE ONLY - NOT FOR USE WITH THE PUBLIC</w:t>
      </w:r>
    </w:p>
    <w:p w14:paraId="0A8CBA0C" w14:textId="77777777" w:rsidR="00D43DFD" w:rsidRPr="00D43DFD" w:rsidRDefault="00D43DFD" w:rsidP="00D43DFD">
      <w:pPr>
        <w:pStyle w:val="NormalWeb"/>
        <w:rPr>
          <w:rFonts w:ascii="Arial" w:hAnsi="Arial" w:cs="Arial"/>
          <w:color w:val="000000"/>
          <w:sz w:val="16"/>
          <w:szCs w:val="16"/>
          <w:shd w:val="clear" w:color="auto" w:fill="FFFFFF"/>
        </w:rPr>
      </w:pPr>
    </w:p>
    <w:p w14:paraId="433D838F" w14:textId="53CA0ADE" w:rsidR="00765950" w:rsidRPr="00765950" w:rsidRDefault="00D43DFD" w:rsidP="00D43DFD">
      <w:pPr>
        <w:pStyle w:val="NormalWeb"/>
        <w:rPr>
          <w:rFonts w:ascii="Arial" w:hAnsi="Arial" w:cs="Arial"/>
          <w:color w:val="000000"/>
          <w:sz w:val="16"/>
          <w:szCs w:val="16"/>
          <w:shd w:val="clear" w:color="auto" w:fill="FFFFFF"/>
        </w:rPr>
      </w:pPr>
      <w:r w:rsidRPr="00D43DFD">
        <w:rPr>
          <w:rFonts w:ascii="Arial" w:hAnsi="Arial" w:cs="Arial"/>
          <w:color w:val="000000"/>
          <w:sz w:val="16"/>
          <w:szCs w:val="16"/>
          <w:shd w:val="clear" w:color="auto" w:fill="FFFFFF"/>
        </w:rPr>
        <w:t>TC8349328(0825)1</w:t>
      </w:r>
    </w:p>
    <w:p w14:paraId="11E96FF8" w14:textId="77777777" w:rsidR="00FD0C35" w:rsidRDefault="00FD0C35"/>
    <w:p w14:paraId="47E8AEC8" w14:textId="77777777" w:rsidR="00FD0C35" w:rsidRDefault="00FD0C35"/>
    <w:sectPr w:rsidR="00FD0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C12DB"/>
    <w:multiLevelType w:val="hybridMultilevel"/>
    <w:tmpl w:val="FED2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AD175E"/>
    <w:multiLevelType w:val="hybridMultilevel"/>
    <w:tmpl w:val="28D6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689781">
    <w:abstractNumId w:val="1"/>
  </w:num>
  <w:num w:numId="2" w16cid:durableId="28603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35"/>
    <w:rsid w:val="00114FE5"/>
    <w:rsid w:val="001809B0"/>
    <w:rsid w:val="0021443C"/>
    <w:rsid w:val="0032512A"/>
    <w:rsid w:val="003675EA"/>
    <w:rsid w:val="003764AA"/>
    <w:rsid w:val="003D3AF7"/>
    <w:rsid w:val="004209F5"/>
    <w:rsid w:val="004A267F"/>
    <w:rsid w:val="005B3F9B"/>
    <w:rsid w:val="00657742"/>
    <w:rsid w:val="006A6F7A"/>
    <w:rsid w:val="007313CA"/>
    <w:rsid w:val="0075078B"/>
    <w:rsid w:val="00756D17"/>
    <w:rsid w:val="00765950"/>
    <w:rsid w:val="007B6A5F"/>
    <w:rsid w:val="007C3821"/>
    <w:rsid w:val="008D1F8B"/>
    <w:rsid w:val="008E53F0"/>
    <w:rsid w:val="009035A2"/>
    <w:rsid w:val="00952F94"/>
    <w:rsid w:val="0098737D"/>
    <w:rsid w:val="00AA1549"/>
    <w:rsid w:val="00AA6C65"/>
    <w:rsid w:val="00AC06AA"/>
    <w:rsid w:val="00B11595"/>
    <w:rsid w:val="00B164AE"/>
    <w:rsid w:val="00B92AAF"/>
    <w:rsid w:val="00BE39A7"/>
    <w:rsid w:val="00C547A4"/>
    <w:rsid w:val="00D43DFD"/>
    <w:rsid w:val="00E30905"/>
    <w:rsid w:val="00E56E38"/>
    <w:rsid w:val="00F15F09"/>
    <w:rsid w:val="00F755E0"/>
    <w:rsid w:val="00F84643"/>
    <w:rsid w:val="00F93DFC"/>
    <w:rsid w:val="00FD0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6297A"/>
  <w15:chartTrackingRefBased/>
  <w15:docId w15:val="{7B22302D-7A89-4795-8EDF-F997F709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C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0C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0C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0C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0C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C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C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C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C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C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C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C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C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C35"/>
    <w:rPr>
      <w:rFonts w:eastAsiaTheme="majorEastAsia" w:cstheme="majorBidi"/>
      <w:color w:val="272727" w:themeColor="text1" w:themeTint="D8"/>
    </w:rPr>
  </w:style>
  <w:style w:type="paragraph" w:styleId="Title">
    <w:name w:val="Title"/>
    <w:basedOn w:val="Normal"/>
    <w:next w:val="Normal"/>
    <w:link w:val="TitleChar"/>
    <w:uiPriority w:val="10"/>
    <w:qFormat/>
    <w:rsid w:val="00FD0C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C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C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C35"/>
    <w:pPr>
      <w:spacing w:before="160"/>
      <w:jc w:val="center"/>
    </w:pPr>
    <w:rPr>
      <w:i/>
      <w:iCs/>
      <w:color w:val="404040" w:themeColor="text1" w:themeTint="BF"/>
    </w:rPr>
  </w:style>
  <w:style w:type="character" w:customStyle="1" w:styleId="QuoteChar">
    <w:name w:val="Quote Char"/>
    <w:basedOn w:val="DefaultParagraphFont"/>
    <w:link w:val="Quote"/>
    <w:uiPriority w:val="29"/>
    <w:rsid w:val="00FD0C35"/>
    <w:rPr>
      <w:i/>
      <w:iCs/>
      <w:color w:val="404040" w:themeColor="text1" w:themeTint="BF"/>
    </w:rPr>
  </w:style>
  <w:style w:type="paragraph" w:styleId="ListParagraph">
    <w:name w:val="List Paragraph"/>
    <w:basedOn w:val="Normal"/>
    <w:uiPriority w:val="34"/>
    <w:qFormat/>
    <w:rsid w:val="00FD0C35"/>
    <w:pPr>
      <w:ind w:left="720"/>
      <w:contextualSpacing/>
    </w:pPr>
  </w:style>
  <w:style w:type="character" w:styleId="IntenseEmphasis">
    <w:name w:val="Intense Emphasis"/>
    <w:basedOn w:val="DefaultParagraphFont"/>
    <w:uiPriority w:val="21"/>
    <w:qFormat/>
    <w:rsid w:val="00FD0C35"/>
    <w:rPr>
      <w:i/>
      <w:iCs/>
      <w:color w:val="0F4761" w:themeColor="accent1" w:themeShade="BF"/>
    </w:rPr>
  </w:style>
  <w:style w:type="paragraph" w:styleId="IntenseQuote">
    <w:name w:val="Intense Quote"/>
    <w:basedOn w:val="Normal"/>
    <w:next w:val="Normal"/>
    <w:link w:val="IntenseQuoteChar"/>
    <w:uiPriority w:val="30"/>
    <w:qFormat/>
    <w:rsid w:val="00FD0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C35"/>
    <w:rPr>
      <w:i/>
      <w:iCs/>
      <w:color w:val="0F4761" w:themeColor="accent1" w:themeShade="BF"/>
    </w:rPr>
  </w:style>
  <w:style w:type="character" w:styleId="IntenseReference">
    <w:name w:val="Intense Reference"/>
    <w:basedOn w:val="DefaultParagraphFont"/>
    <w:uiPriority w:val="32"/>
    <w:qFormat/>
    <w:rsid w:val="00FD0C35"/>
    <w:rPr>
      <w:b/>
      <w:bCs/>
      <w:smallCaps/>
      <w:color w:val="0F4761" w:themeColor="accent1" w:themeShade="BF"/>
      <w:spacing w:val="5"/>
    </w:rPr>
  </w:style>
  <w:style w:type="character" w:styleId="Hyperlink">
    <w:name w:val="Hyperlink"/>
    <w:basedOn w:val="DefaultParagraphFont"/>
    <w:uiPriority w:val="99"/>
    <w:unhideWhenUsed/>
    <w:rsid w:val="00FD0C35"/>
    <w:rPr>
      <w:color w:val="467886" w:themeColor="hyperlink"/>
      <w:u w:val="single"/>
    </w:rPr>
  </w:style>
  <w:style w:type="paragraph" w:styleId="NormalWeb">
    <w:name w:val="Normal (Web)"/>
    <w:basedOn w:val="Normal"/>
    <w:uiPriority w:val="99"/>
    <w:unhideWhenUsed/>
    <w:rsid w:val="00FD0C3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FD0C35"/>
    <w:rPr>
      <w:color w:val="605E5C"/>
      <w:shd w:val="clear" w:color="auto" w:fill="E1DFDD"/>
    </w:rPr>
  </w:style>
  <w:style w:type="character" w:styleId="Emphasis">
    <w:name w:val="Emphasis"/>
    <w:basedOn w:val="DefaultParagraphFont"/>
    <w:uiPriority w:val="20"/>
    <w:qFormat/>
    <w:rsid w:val="00765950"/>
    <w:rPr>
      <w:i/>
      <w:iCs/>
    </w:rPr>
  </w:style>
  <w:style w:type="paragraph" w:styleId="PlainText">
    <w:name w:val="Plain Text"/>
    <w:basedOn w:val="Normal"/>
    <w:link w:val="PlainTextChar"/>
    <w:uiPriority w:val="99"/>
    <w:semiHidden/>
    <w:unhideWhenUsed/>
    <w:rsid w:val="00765950"/>
    <w:pPr>
      <w:spacing w:after="0" w:line="240" w:lineRule="auto"/>
    </w:pPr>
    <w:rPr>
      <w:rFonts w:ascii="Calibri" w:eastAsia="Times New Roman" w:hAnsi="Calibri"/>
      <w:sz w:val="22"/>
      <w:szCs w:val="21"/>
    </w:rPr>
  </w:style>
  <w:style w:type="character" w:customStyle="1" w:styleId="PlainTextChar">
    <w:name w:val="Plain Text Char"/>
    <w:basedOn w:val="DefaultParagraphFont"/>
    <w:link w:val="PlainText"/>
    <w:uiPriority w:val="99"/>
    <w:semiHidden/>
    <w:rsid w:val="00765950"/>
    <w:rPr>
      <w:rFonts w:ascii="Calibri" w:eastAsia="Times New Roman"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0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ter@nationalLif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carroll@nationalLif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blake@nationalLife.com" TargetMode="External"/><Relationship Id="rId11" Type="http://schemas.openxmlformats.org/officeDocument/2006/relationships/hyperlink" Target="https://urldefense.com/v3/__https:/wealthwave.com/alvinking/blog/the-great-wealth-transfer-update__;!!BeEutw6RKg!EWXonL_uOe8Pphjo9V3oUeJH8T6KqYNCfvisZ1baHTSAhyM1rXdkCFWLJAXymbnX_m9cKmE2fyyZ7rNytBKxo-Rs-uM$" TargetMode="External"/><Relationship Id="rId5" Type="http://schemas.openxmlformats.org/officeDocument/2006/relationships/hyperlink" Target="mailto:cgeiger@nationalLife.com" TargetMode="External"/><Relationship Id="rId10" Type="http://schemas.openxmlformats.org/officeDocument/2006/relationships/image" Target="cid:image001.jpg@01DC102D.833AE500"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36fa9be-5e80-4887-a872-0c5d294150ae}" enabled="0" method="" siteId="{336fa9be-5e80-4887-a872-0c5d294150ae}"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Geiger, Craig</dc:creator>
  <cp:keywords/>
  <dc:description/>
  <cp:lastModifiedBy>Belleville, Chris</cp:lastModifiedBy>
  <cp:revision>2</cp:revision>
  <dcterms:created xsi:type="dcterms:W3CDTF">2025-09-16T19:46:00Z</dcterms:created>
  <dcterms:modified xsi:type="dcterms:W3CDTF">2025-09-16T19:46:00Z</dcterms:modified>
</cp:coreProperties>
</file>